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9" w:name="_GoBack"/>
      <w:bookmarkEnd w:id="49"/>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木垒哈萨克自治县雀仁乡人民政府</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1、乡党委主要职能</w:t>
      </w:r>
    </w:p>
    <w:p>
      <w:pPr>
        <w:ind w:firstLine="640" w:firstLineChars="200"/>
        <w:jc w:val="left"/>
        <w:rPr>
          <w:rFonts w:ascii="仿宋_GB2312" w:eastAsia="仿宋_GB2312"/>
          <w:sz w:val="32"/>
          <w:szCs w:val="32"/>
        </w:rPr>
      </w:pPr>
      <w:r>
        <w:rPr>
          <w:rFonts w:hint="eastAsia" w:ascii="仿宋_GB2312" w:eastAsia="仿宋_GB2312"/>
          <w:sz w:val="32"/>
          <w:szCs w:val="32"/>
        </w:rPr>
        <w:t>（1）宣传和贯彻执行党的路线、方针、政策，贯彻执行上级党组织和党员代表大会的决议、决定。</w:t>
      </w:r>
    </w:p>
    <w:p>
      <w:pPr>
        <w:ind w:firstLine="640" w:firstLineChars="200"/>
        <w:jc w:val="left"/>
        <w:rPr>
          <w:rFonts w:ascii="仿宋_GB2312" w:eastAsia="仿宋_GB2312"/>
          <w:sz w:val="32"/>
          <w:szCs w:val="32"/>
        </w:rPr>
      </w:pPr>
      <w:r>
        <w:rPr>
          <w:rFonts w:hint="eastAsia" w:ascii="仿宋_GB2312" w:eastAsia="仿宋_GB2312"/>
          <w:sz w:val="32"/>
          <w:szCs w:val="32"/>
        </w:rPr>
        <w:t>（2）讨论决定本乡经济和社会发展中的重大问题，并组织、协调、督促实施。按照干部管理权限，负责干部的教育、培养、选拔和监督工作。</w:t>
      </w:r>
    </w:p>
    <w:p>
      <w:pPr>
        <w:ind w:firstLine="640" w:firstLineChars="200"/>
        <w:jc w:val="left"/>
        <w:rPr>
          <w:rFonts w:ascii="仿宋_GB2312" w:eastAsia="仿宋_GB2312"/>
          <w:sz w:val="32"/>
          <w:szCs w:val="32"/>
        </w:rPr>
      </w:pPr>
      <w:r>
        <w:rPr>
          <w:rFonts w:hint="eastAsia" w:ascii="仿宋_GB2312" w:eastAsia="仿宋_GB2312"/>
          <w:sz w:val="32"/>
          <w:szCs w:val="32"/>
        </w:rPr>
        <w:t>（3）领导乡政府机关和群众组织，支持和保证其依照国家法律法规及各自章程充分行使职权。加强乡党委自身建设和以党总支为核心的社区居委会组织建设。</w:t>
      </w:r>
    </w:p>
    <w:p>
      <w:pPr>
        <w:ind w:firstLine="640" w:firstLineChars="200"/>
        <w:jc w:val="left"/>
        <w:rPr>
          <w:rFonts w:ascii="仿宋_GB2312" w:eastAsia="仿宋_GB2312"/>
          <w:sz w:val="32"/>
          <w:szCs w:val="32"/>
        </w:rPr>
      </w:pPr>
      <w:r>
        <w:rPr>
          <w:rFonts w:hint="eastAsia" w:ascii="仿宋_GB2312" w:eastAsia="仿宋_GB2312"/>
          <w:sz w:val="32"/>
          <w:szCs w:val="32"/>
        </w:rPr>
        <w:t>（4）领导本乡党的组织建设、党风廉政建设和反腐败工作、社会主义民主法制建设和精神文明建设，做好社会管理综合治理、民族宗教、党管武装、计划生育和目标管理绩效考评等工作。</w:t>
      </w:r>
    </w:p>
    <w:p>
      <w:pPr>
        <w:ind w:firstLine="640" w:firstLineChars="200"/>
        <w:jc w:val="left"/>
        <w:rPr>
          <w:rFonts w:ascii="仿宋_GB2312" w:eastAsia="仿宋_GB2312"/>
          <w:sz w:val="32"/>
          <w:szCs w:val="32"/>
        </w:rPr>
      </w:pPr>
      <w:r>
        <w:rPr>
          <w:rFonts w:hint="eastAsia" w:ascii="仿宋_GB2312" w:eastAsia="仿宋_GB2312"/>
          <w:sz w:val="32"/>
          <w:szCs w:val="32"/>
        </w:rPr>
        <w:t>2、乡政府主要职能</w:t>
      </w:r>
    </w:p>
    <w:p>
      <w:pPr>
        <w:ind w:firstLine="640" w:firstLineChars="200"/>
        <w:jc w:val="left"/>
        <w:rPr>
          <w:rFonts w:ascii="仿宋_GB2312" w:eastAsia="仿宋_GB2312"/>
          <w:sz w:val="32"/>
          <w:szCs w:val="32"/>
        </w:rPr>
      </w:pPr>
      <w:r>
        <w:rPr>
          <w:rFonts w:hint="eastAsia" w:ascii="仿宋_GB2312" w:eastAsia="仿宋_GB2312"/>
          <w:sz w:val="32"/>
          <w:szCs w:val="32"/>
        </w:rPr>
        <w:t>（1）宣传贯彻党的路线、方针、政策和国家的法律、法规，贯彻执行人民代表大会的决议及上级党委、政府的决定、命令和党委的决定。</w:t>
      </w:r>
    </w:p>
    <w:p>
      <w:pPr>
        <w:ind w:firstLine="640" w:firstLineChars="200"/>
        <w:jc w:val="left"/>
        <w:rPr>
          <w:rFonts w:ascii="仿宋_GB2312" w:eastAsia="仿宋_GB2312"/>
          <w:sz w:val="32"/>
          <w:szCs w:val="32"/>
        </w:rPr>
      </w:pPr>
      <w:r>
        <w:rPr>
          <w:rFonts w:hint="eastAsia" w:ascii="仿宋_GB2312" w:eastAsia="仿宋_GB2312"/>
          <w:sz w:val="32"/>
          <w:szCs w:val="32"/>
        </w:rPr>
        <w:t>（2）编制和执行本镇社会经济发展规划、计划和财政预算，组织完成上级党委、政府下达的各项工作任务。</w:t>
      </w:r>
    </w:p>
    <w:p>
      <w:pPr>
        <w:ind w:firstLine="640" w:firstLineChars="200"/>
        <w:jc w:val="left"/>
        <w:rPr>
          <w:rFonts w:ascii="仿宋_GB2312" w:eastAsia="仿宋_GB2312"/>
          <w:sz w:val="32"/>
          <w:szCs w:val="32"/>
        </w:rPr>
      </w:pPr>
      <w:r>
        <w:rPr>
          <w:rFonts w:hint="eastAsia" w:ascii="仿宋_GB2312" w:eastAsia="仿宋_GB2312"/>
          <w:sz w:val="32"/>
          <w:szCs w:val="32"/>
        </w:rPr>
        <w:t>（3）负责本行政区域内的经济和教育、科学、文化、卫生、环境保护、体育、财政、民政、公安、司法、计划生育、公益、科普、安全生产、劳动保障、信访、残联、老龄、统战、民族宗教、征兵、民兵组织建设、工青妇等各项社会事业的行政工作。</w:t>
      </w:r>
    </w:p>
    <w:p>
      <w:pPr>
        <w:ind w:firstLine="640" w:firstLineChars="200"/>
        <w:jc w:val="left"/>
        <w:rPr>
          <w:rFonts w:ascii="仿宋_GB2312" w:eastAsia="仿宋_GB2312"/>
          <w:sz w:val="32"/>
          <w:szCs w:val="32"/>
        </w:rPr>
      </w:pPr>
      <w:r>
        <w:rPr>
          <w:rFonts w:hint="eastAsia" w:ascii="仿宋_GB2312" w:eastAsia="仿宋_GB2312"/>
          <w:sz w:val="32"/>
          <w:szCs w:val="32"/>
        </w:rPr>
        <w:t>（4）维护社会秩序，营造良好的发展环境，保障公民和各种经济组织的合法权益。指导、支持和帮助社区居民委员会工作，抓好基层政权建设。</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木垒哈萨克自治县雀仁乡人民政府2023年度，实有人数</w:t>
      </w:r>
      <w:r>
        <w:rPr>
          <w:rFonts w:hint="eastAsia" w:ascii="仿宋_GB2312" w:eastAsia="仿宋_GB2312"/>
          <w:sz w:val="32"/>
          <w:szCs w:val="32"/>
          <w:lang w:val="zh-CN"/>
        </w:rPr>
        <w:t>66</w:t>
      </w:r>
      <w:r>
        <w:rPr>
          <w:rFonts w:hint="eastAsia" w:ascii="仿宋_GB2312" w:eastAsia="仿宋_GB2312"/>
          <w:sz w:val="32"/>
          <w:szCs w:val="32"/>
        </w:rPr>
        <w:t>人，其中：在职人员</w:t>
      </w:r>
      <w:r>
        <w:rPr>
          <w:rFonts w:hint="eastAsia" w:ascii="仿宋_GB2312" w:eastAsia="仿宋_GB2312"/>
          <w:sz w:val="32"/>
          <w:szCs w:val="32"/>
          <w:lang w:val="zh-CN"/>
        </w:rPr>
        <w:t>47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19</w:t>
      </w:r>
      <w:r>
        <w:rPr>
          <w:rFonts w:hint="eastAsia" w:ascii="仿宋_GB2312" w:eastAsia="仿宋_GB2312"/>
          <w:sz w:val="32"/>
          <w:szCs w:val="32"/>
        </w:rPr>
        <w:t>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10</w:t>
      </w:r>
      <w:r>
        <w:rPr>
          <w:rFonts w:hint="eastAsia" w:ascii="仿宋_GB2312" w:hAnsi="黑体" w:eastAsia="仿宋_GB2312" w:cs="宋体"/>
          <w:bCs/>
          <w:kern w:val="0"/>
          <w:sz w:val="32"/>
          <w:szCs w:val="32"/>
        </w:rPr>
        <w:t>个处室，分别是：</w:t>
      </w:r>
      <w:r>
        <w:rPr>
          <w:rFonts w:hint="eastAsia" w:ascii="仿宋_GB2312" w:hAnsi="宋体" w:eastAsia="仿宋_GB2312"/>
          <w:sz w:val="32"/>
          <w:szCs w:val="32"/>
        </w:rPr>
        <w:t>党政综合办公室、综治办公室、项目办公室、乡村振兴办公室、农业（畜牧业）发展服务中心、社会保障（民政）服务中心、村镇规划建设发展中心（生态环境工作站）、人口和计划生育生殖健康服务中心、农业合作经济（统计）发展中心（财政所）、社会事务管理中心</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2023年度收入总计5,010.39万元，其中：本年收入合计5,010.39万元，使用非财政拨款结余0.00万元，年初结转和结余0.00万元。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2023年度支出总计5,010.39万元，其中：本年支出合计5,010.39万元，结余分配0.00万元，年末结转和结余0.00万元。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减少2,114.49万元</w:t>
      </w:r>
      <w:r>
        <w:rPr>
          <w:rFonts w:hint="eastAsia" w:ascii="仿宋_GB2312" w:eastAsia="仿宋_GB2312"/>
          <w:sz w:val="32"/>
          <w:szCs w:val="32"/>
        </w:rPr>
        <w:t>，下降29.68%，主要原因是：本年单位驻村干部工作个人补助项目经费、2023年中央农业生产发展资金（农机购置补贴）、雀仁乡高龄补贴项目经费减少。</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本年收入5,010.39万元，其中：财政拨款收入</w:t>
      </w:r>
      <w:r>
        <w:rPr>
          <w:rFonts w:hint="eastAsia" w:ascii="仿宋_GB2312" w:eastAsia="仿宋_GB2312"/>
          <w:sz w:val="32"/>
          <w:szCs w:val="32"/>
          <w:lang w:val="zh-CN"/>
        </w:rPr>
        <w:t>5,010.39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本年支出5,010.39万元，其中：基本支出1,465.10万元，占29.24%；项目支出3,545.29万元，占70.76%；上缴上级支出0.00万元，占0.00%；经营支出0.00万元，占0.00%；对附属单位补助支出0.00万元，占0.00%。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5,010.39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5,010.39</w:t>
      </w:r>
      <w:r>
        <w:rPr>
          <w:rFonts w:hint="eastAsia" w:ascii="仿宋_GB2312" w:eastAsia="仿宋_GB2312"/>
          <w:sz w:val="32"/>
          <w:szCs w:val="32"/>
        </w:rPr>
        <w:t>万元。财政拨款支出总计</w:t>
      </w:r>
      <w:r>
        <w:rPr>
          <w:rFonts w:hint="eastAsia" w:ascii="仿宋_GB2312" w:eastAsia="仿宋_GB2312"/>
          <w:sz w:val="32"/>
          <w:szCs w:val="32"/>
          <w:lang w:val="zh-CN"/>
        </w:rPr>
        <w:t>5,010.39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5,010.39</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减少2,114.49万元</w:t>
      </w:r>
      <w:r>
        <w:rPr>
          <w:rFonts w:hint="eastAsia" w:ascii="仿宋_GB2312" w:eastAsia="仿宋_GB2312"/>
          <w:sz w:val="32"/>
          <w:szCs w:val="32"/>
        </w:rPr>
        <w:t>，下降29.68%,主要原因是：本年单位驻村干部工作个人补助项目经费、2023年中央农业生产发展资金（农机购置补贴）、雀仁乡高龄补贴项目经费减少。与年初预算相比，年初预算数</w:t>
      </w:r>
      <w:r>
        <w:rPr>
          <w:rFonts w:hint="eastAsia" w:ascii="仿宋_GB2312" w:eastAsia="仿宋_GB2312"/>
          <w:sz w:val="32"/>
          <w:szCs w:val="32"/>
          <w:lang w:val="zh-CN"/>
        </w:rPr>
        <w:t>1,710.41</w:t>
      </w:r>
      <w:r>
        <w:rPr>
          <w:rFonts w:hint="eastAsia" w:ascii="仿宋_GB2312" w:eastAsia="仿宋_GB2312"/>
          <w:sz w:val="32"/>
          <w:szCs w:val="32"/>
        </w:rPr>
        <w:t>万元，决算数</w:t>
      </w:r>
      <w:r>
        <w:rPr>
          <w:rFonts w:hint="eastAsia" w:ascii="仿宋_GB2312" w:eastAsia="仿宋_GB2312"/>
          <w:sz w:val="32"/>
          <w:szCs w:val="32"/>
          <w:lang w:val="zh-CN"/>
        </w:rPr>
        <w:t>5,010.39</w:t>
      </w:r>
      <w:r>
        <w:rPr>
          <w:rFonts w:hint="eastAsia" w:ascii="仿宋_GB2312" w:eastAsia="仿宋_GB2312"/>
          <w:sz w:val="32"/>
          <w:szCs w:val="32"/>
        </w:rPr>
        <w:t>万元，预决算差异率192.94%，主要原因是：年中追加中央补助地方公共文化服务体系建设补助资金、雀仁乡人大代表之家活动经费、2023年木垒县雀仁乡元宵节社火展演比赛项目经费。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2023年度一般公共预算财政拨款支出4,810.61万元，占本年支出合计的</w:t>
      </w:r>
      <w:r>
        <w:rPr>
          <w:rFonts w:hint="eastAsia" w:ascii="仿宋_GB2312" w:eastAsia="仿宋_GB2312"/>
          <w:sz w:val="32"/>
          <w:szCs w:val="32"/>
          <w:lang w:val="zh-CN"/>
        </w:rPr>
        <w:t>96.01%</w:t>
      </w:r>
      <w:r>
        <w:rPr>
          <w:rFonts w:hint="eastAsia" w:ascii="仿宋_GB2312" w:eastAsia="仿宋_GB2312"/>
          <w:sz w:val="32"/>
          <w:szCs w:val="32"/>
        </w:rPr>
        <w:t>。与上年相比，</w:t>
      </w:r>
      <w:r>
        <w:rPr>
          <w:rFonts w:hint="eastAsia" w:ascii="仿宋_GB2312" w:eastAsia="仿宋_GB2312"/>
          <w:sz w:val="32"/>
          <w:szCs w:val="32"/>
          <w:lang w:val="zh-CN"/>
        </w:rPr>
        <w:t>减少1,970.75万元</w:t>
      </w:r>
      <w:r>
        <w:rPr>
          <w:rFonts w:hint="eastAsia" w:ascii="仿宋_GB2312" w:eastAsia="仿宋_GB2312"/>
          <w:sz w:val="32"/>
          <w:szCs w:val="32"/>
        </w:rPr>
        <w:t>，下降29.06%,主要原因是：本年单位驻村干部工作个人补助项目经费、2023年中央农业生产发展资金（农机购置补贴）、雀仁乡高龄补贴项目经费减少。与年初预算相比，年初预算数</w:t>
      </w:r>
      <w:r>
        <w:rPr>
          <w:rFonts w:hint="eastAsia" w:ascii="仿宋_GB2312" w:eastAsia="仿宋_GB2312"/>
          <w:sz w:val="32"/>
          <w:szCs w:val="32"/>
          <w:lang w:val="zh-CN"/>
        </w:rPr>
        <w:t>1,710.41</w:t>
      </w:r>
      <w:r>
        <w:rPr>
          <w:rFonts w:hint="eastAsia" w:ascii="仿宋_GB2312" w:eastAsia="仿宋_GB2312"/>
          <w:sz w:val="32"/>
          <w:szCs w:val="32"/>
        </w:rPr>
        <w:t>万元，决算数</w:t>
      </w:r>
      <w:r>
        <w:rPr>
          <w:rFonts w:hint="eastAsia" w:ascii="仿宋_GB2312" w:eastAsia="仿宋_GB2312"/>
          <w:sz w:val="32"/>
          <w:szCs w:val="32"/>
          <w:lang w:val="zh-CN"/>
        </w:rPr>
        <w:t>4,810.61</w:t>
      </w:r>
      <w:r>
        <w:rPr>
          <w:rFonts w:hint="eastAsia" w:ascii="仿宋_GB2312" w:eastAsia="仿宋_GB2312"/>
          <w:sz w:val="32"/>
          <w:szCs w:val="32"/>
        </w:rPr>
        <w:t>万元，预决算差异率</w:t>
      </w:r>
      <w:r>
        <w:rPr>
          <w:rFonts w:hint="eastAsia" w:ascii="仿宋_GB2312" w:eastAsia="仿宋_GB2312"/>
          <w:sz w:val="32"/>
          <w:szCs w:val="32"/>
          <w:lang w:val="zh-CN"/>
        </w:rPr>
        <w:t>181.25%</w:t>
      </w:r>
      <w:r>
        <w:rPr>
          <w:rFonts w:hint="eastAsia" w:ascii="仿宋_GB2312" w:eastAsia="仿宋_GB2312"/>
          <w:sz w:val="32"/>
          <w:szCs w:val="32"/>
        </w:rPr>
        <w:t>，主要原因是：年中追加中央补助地方公共文化服务体系建设补助资金、雀仁乡人大代表之家活动经费、2023年木垒县雀仁乡元宵节社火展演比赛项目经费。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spacing w:line="600" w:lineRule="exact"/>
        <w:ind w:firstLine="640" w:firstLineChars="200"/>
        <w:jc w:val="left"/>
        <w:rPr>
          <w:rFonts w:ascii="仿宋_GB2312" w:eastAsia="仿宋_GB2312"/>
          <w:sz w:val="32"/>
          <w:szCs w:val="32"/>
          <w:lang w:val="zh-CN"/>
        </w:rPr>
      </w:pPr>
      <w:r>
        <w:rPr>
          <w:rFonts w:ascii="仿宋_GB2312" w:eastAsia="仿宋_GB2312"/>
          <w:sz w:val="32"/>
          <w:szCs w:val="32"/>
          <w:lang w:val="zh-CN"/>
        </w:rPr>
        <w:t>1.一般公共服务支出（类）</w:t>
      </w:r>
      <w:r>
        <w:rPr>
          <w:rFonts w:hint="eastAsia" w:ascii="仿宋_GB2312" w:eastAsia="仿宋_GB2312"/>
          <w:sz w:val="32"/>
          <w:szCs w:val="32"/>
          <w:lang w:val="zh-CN"/>
        </w:rPr>
        <w:t>578.21</w:t>
      </w:r>
      <w:r>
        <w:rPr>
          <w:rFonts w:ascii="仿宋_GB2312" w:eastAsia="仿宋_GB2312"/>
          <w:sz w:val="32"/>
          <w:szCs w:val="32"/>
          <w:lang w:val="zh-CN"/>
        </w:rPr>
        <w:t>万元，占</w:t>
      </w:r>
      <w:r>
        <w:rPr>
          <w:rFonts w:hint="eastAsia" w:ascii="仿宋_GB2312" w:eastAsia="仿宋_GB2312"/>
          <w:sz w:val="32"/>
          <w:szCs w:val="32"/>
          <w:lang w:val="zh-CN"/>
        </w:rPr>
        <w:t>12.02</w:t>
      </w:r>
      <w:r>
        <w:rPr>
          <w:rFonts w:ascii="仿宋_GB2312" w:eastAsia="仿宋_GB2312"/>
          <w:sz w:val="32"/>
          <w:szCs w:val="32"/>
          <w:lang w:val="zh-CN"/>
        </w:rPr>
        <w:t>%；</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w:t>
      </w:r>
      <w:r>
        <w:rPr>
          <w:rFonts w:ascii="仿宋_GB2312" w:eastAsia="仿宋_GB2312"/>
          <w:sz w:val="32"/>
          <w:szCs w:val="32"/>
          <w:lang w:val="zh-CN"/>
        </w:rPr>
        <w:t>.公共安全支出（类）</w:t>
      </w:r>
      <w:r>
        <w:rPr>
          <w:rFonts w:hint="eastAsia" w:ascii="仿宋_GB2312" w:eastAsia="仿宋_GB2312"/>
          <w:sz w:val="32"/>
          <w:szCs w:val="32"/>
          <w:lang w:val="zh-CN"/>
        </w:rPr>
        <w:t>13.69</w:t>
      </w:r>
      <w:r>
        <w:rPr>
          <w:rFonts w:ascii="仿宋_GB2312" w:eastAsia="仿宋_GB2312"/>
          <w:sz w:val="32"/>
          <w:szCs w:val="32"/>
          <w:lang w:val="zh-CN"/>
        </w:rPr>
        <w:t>万元，占</w:t>
      </w:r>
      <w:r>
        <w:rPr>
          <w:rFonts w:hint="eastAsia" w:ascii="仿宋_GB2312" w:eastAsia="仿宋_GB2312"/>
          <w:sz w:val="32"/>
          <w:szCs w:val="32"/>
          <w:lang w:val="zh-CN"/>
        </w:rPr>
        <w:t>0.28</w:t>
      </w:r>
      <w:r>
        <w:rPr>
          <w:rFonts w:ascii="仿宋_GB2312" w:eastAsia="仿宋_GB2312"/>
          <w:sz w:val="32"/>
          <w:szCs w:val="32"/>
          <w:lang w:val="zh-CN"/>
        </w:rPr>
        <w:t>%；</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w:t>
      </w:r>
      <w:r>
        <w:rPr>
          <w:rFonts w:ascii="仿宋_GB2312" w:eastAsia="仿宋_GB2312"/>
          <w:sz w:val="32"/>
          <w:szCs w:val="32"/>
          <w:lang w:val="zh-CN"/>
        </w:rPr>
        <w:t>.文化旅游体育与传媒支出（类）</w:t>
      </w:r>
      <w:r>
        <w:rPr>
          <w:rFonts w:hint="eastAsia" w:ascii="仿宋_GB2312" w:eastAsia="仿宋_GB2312"/>
          <w:sz w:val="32"/>
          <w:szCs w:val="32"/>
          <w:lang w:val="zh-CN"/>
        </w:rPr>
        <w:t>23.64</w:t>
      </w:r>
      <w:r>
        <w:rPr>
          <w:rFonts w:ascii="仿宋_GB2312" w:eastAsia="仿宋_GB2312"/>
          <w:sz w:val="32"/>
          <w:szCs w:val="32"/>
          <w:lang w:val="zh-CN"/>
        </w:rPr>
        <w:t>万元，占</w:t>
      </w:r>
      <w:r>
        <w:rPr>
          <w:rFonts w:hint="eastAsia" w:ascii="仿宋_GB2312" w:eastAsia="仿宋_GB2312"/>
          <w:sz w:val="32"/>
          <w:szCs w:val="32"/>
          <w:lang w:val="zh-CN"/>
        </w:rPr>
        <w:t>0.49</w:t>
      </w:r>
      <w:r>
        <w:rPr>
          <w:rFonts w:ascii="仿宋_GB2312" w:eastAsia="仿宋_GB2312"/>
          <w:sz w:val="32"/>
          <w:szCs w:val="32"/>
          <w:lang w:val="zh-CN"/>
        </w:rPr>
        <w:t>%；</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4</w:t>
      </w:r>
      <w:r>
        <w:rPr>
          <w:rFonts w:ascii="仿宋_GB2312" w:eastAsia="仿宋_GB2312"/>
          <w:sz w:val="32"/>
          <w:szCs w:val="32"/>
          <w:lang w:val="zh-CN"/>
        </w:rPr>
        <w:t>.社会保障和就业支出（类）</w:t>
      </w:r>
      <w:r>
        <w:rPr>
          <w:rFonts w:hint="eastAsia" w:ascii="仿宋_GB2312" w:eastAsia="仿宋_GB2312"/>
          <w:sz w:val="32"/>
          <w:szCs w:val="32"/>
          <w:lang w:val="zh-CN"/>
        </w:rPr>
        <w:t>168.79</w:t>
      </w:r>
      <w:r>
        <w:rPr>
          <w:rFonts w:ascii="仿宋_GB2312" w:eastAsia="仿宋_GB2312"/>
          <w:sz w:val="32"/>
          <w:szCs w:val="32"/>
          <w:lang w:val="zh-CN"/>
        </w:rPr>
        <w:t>万元，占</w:t>
      </w:r>
      <w:r>
        <w:rPr>
          <w:rFonts w:hint="eastAsia" w:ascii="仿宋_GB2312" w:eastAsia="仿宋_GB2312"/>
          <w:sz w:val="32"/>
          <w:szCs w:val="32"/>
          <w:lang w:val="zh-CN"/>
        </w:rPr>
        <w:t>3.51</w:t>
      </w:r>
      <w:r>
        <w:rPr>
          <w:rFonts w:ascii="仿宋_GB2312" w:eastAsia="仿宋_GB2312"/>
          <w:sz w:val="32"/>
          <w:szCs w:val="32"/>
          <w:lang w:val="zh-CN"/>
        </w:rPr>
        <w:t>%；</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5</w:t>
      </w:r>
      <w:r>
        <w:rPr>
          <w:rFonts w:ascii="仿宋_GB2312" w:eastAsia="仿宋_GB2312"/>
          <w:sz w:val="32"/>
          <w:szCs w:val="32"/>
          <w:lang w:val="zh-CN"/>
        </w:rPr>
        <w:t>.卫生健康支出（类）</w:t>
      </w:r>
      <w:r>
        <w:rPr>
          <w:rFonts w:hint="eastAsia" w:ascii="仿宋_GB2312" w:eastAsia="仿宋_GB2312"/>
          <w:sz w:val="32"/>
          <w:szCs w:val="32"/>
          <w:lang w:val="zh-CN"/>
        </w:rPr>
        <w:t>3.00</w:t>
      </w:r>
      <w:r>
        <w:rPr>
          <w:rFonts w:ascii="仿宋_GB2312" w:eastAsia="仿宋_GB2312"/>
          <w:sz w:val="32"/>
          <w:szCs w:val="32"/>
          <w:lang w:val="zh-CN"/>
        </w:rPr>
        <w:t>万元，占</w:t>
      </w:r>
      <w:r>
        <w:rPr>
          <w:rFonts w:hint="eastAsia" w:ascii="仿宋_GB2312" w:eastAsia="仿宋_GB2312"/>
          <w:sz w:val="32"/>
          <w:szCs w:val="32"/>
          <w:lang w:val="zh-CN"/>
        </w:rPr>
        <w:t>0.06</w:t>
      </w:r>
      <w:r>
        <w:rPr>
          <w:rFonts w:ascii="仿宋_GB2312" w:eastAsia="仿宋_GB2312"/>
          <w:sz w:val="32"/>
          <w:szCs w:val="32"/>
          <w:lang w:val="zh-CN"/>
        </w:rPr>
        <w:t>%；</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6</w:t>
      </w:r>
      <w:r>
        <w:rPr>
          <w:rFonts w:ascii="仿宋_GB2312" w:eastAsia="仿宋_GB2312"/>
          <w:sz w:val="32"/>
          <w:szCs w:val="32"/>
          <w:lang w:val="zh-CN"/>
        </w:rPr>
        <w:t>.城乡社区支出（类）</w:t>
      </w:r>
      <w:r>
        <w:rPr>
          <w:rFonts w:hint="eastAsia" w:ascii="仿宋_GB2312" w:eastAsia="仿宋_GB2312"/>
          <w:sz w:val="32"/>
          <w:szCs w:val="32"/>
          <w:lang w:val="zh-CN"/>
        </w:rPr>
        <w:t>90.60</w:t>
      </w:r>
      <w:r>
        <w:rPr>
          <w:rFonts w:ascii="仿宋_GB2312" w:eastAsia="仿宋_GB2312"/>
          <w:sz w:val="32"/>
          <w:szCs w:val="32"/>
          <w:lang w:val="zh-CN"/>
        </w:rPr>
        <w:t>万元，占</w:t>
      </w:r>
      <w:r>
        <w:rPr>
          <w:rFonts w:hint="eastAsia" w:ascii="仿宋_GB2312" w:eastAsia="仿宋_GB2312"/>
          <w:sz w:val="32"/>
          <w:szCs w:val="32"/>
          <w:lang w:val="zh-CN"/>
        </w:rPr>
        <w:t>1.88</w:t>
      </w:r>
      <w:r>
        <w:rPr>
          <w:rFonts w:ascii="仿宋_GB2312" w:eastAsia="仿宋_GB2312"/>
          <w:sz w:val="32"/>
          <w:szCs w:val="32"/>
          <w:lang w:val="zh-CN"/>
        </w:rPr>
        <w:t>%；</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7</w:t>
      </w:r>
      <w:r>
        <w:rPr>
          <w:rFonts w:ascii="仿宋_GB2312" w:eastAsia="仿宋_GB2312"/>
          <w:sz w:val="32"/>
          <w:szCs w:val="32"/>
          <w:lang w:val="zh-CN"/>
        </w:rPr>
        <w:t>.农林水支出（类）</w:t>
      </w:r>
      <w:r>
        <w:rPr>
          <w:rFonts w:hint="eastAsia" w:ascii="仿宋_GB2312" w:eastAsia="仿宋_GB2312"/>
          <w:sz w:val="32"/>
          <w:szCs w:val="32"/>
          <w:lang w:val="zh-CN"/>
        </w:rPr>
        <w:t>3,847.81</w:t>
      </w:r>
      <w:r>
        <w:rPr>
          <w:rFonts w:ascii="仿宋_GB2312" w:eastAsia="仿宋_GB2312"/>
          <w:sz w:val="32"/>
          <w:szCs w:val="32"/>
          <w:lang w:val="zh-CN"/>
        </w:rPr>
        <w:t>万元，占</w:t>
      </w:r>
      <w:r>
        <w:rPr>
          <w:rFonts w:hint="eastAsia" w:ascii="仿宋_GB2312" w:eastAsia="仿宋_GB2312"/>
          <w:sz w:val="32"/>
          <w:szCs w:val="32"/>
          <w:lang w:val="zh-CN"/>
        </w:rPr>
        <w:t>79.99</w:t>
      </w:r>
      <w:r>
        <w:rPr>
          <w:rFonts w:ascii="仿宋_GB2312" w:eastAsia="仿宋_GB2312"/>
          <w:sz w:val="32"/>
          <w:szCs w:val="32"/>
          <w:lang w:val="zh-CN"/>
        </w:rPr>
        <w:t>%；</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8</w:t>
      </w:r>
      <w:r>
        <w:rPr>
          <w:rFonts w:ascii="仿宋_GB2312" w:eastAsia="仿宋_GB2312"/>
          <w:sz w:val="32"/>
          <w:szCs w:val="32"/>
          <w:lang w:val="zh-CN"/>
        </w:rPr>
        <w:t>.住房保障支出（类）</w:t>
      </w:r>
      <w:r>
        <w:rPr>
          <w:rFonts w:hint="eastAsia" w:ascii="仿宋_GB2312" w:eastAsia="仿宋_GB2312"/>
          <w:sz w:val="32"/>
          <w:szCs w:val="32"/>
          <w:lang w:val="zh-CN"/>
        </w:rPr>
        <w:t>62.01</w:t>
      </w:r>
      <w:r>
        <w:rPr>
          <w:rFonts w:ascii="仿宋_GB2312" w:eastAsia="仿宋_GB2312"/>
          <w:sz w:val="32"/>
          <w:szCs w:val="32"/>
          <w:lang w:val="zh-CN"/>
        </w:rPr>
        <w:t>万元，占</w:t>
      </w:r>
      <w:r>
        <w:rPr>
          <w:rFonts w:hint="eastAsia" w:ascii="仿宋_GB2312" w:eastAsia="仿宋_GB2312"/>
          <w:sz w:val="32"/>
          <w:szCs w:val="32"/>
          <w:lang w:val="zh-CN"/>
        </w:rPr>
        <w:t>1.29</w:t>
      </w:r>
      <w:r>
        <w:rPr>
          <w:rFonts w:ascii="仿宋_GB2312" w:eastAsia="仿宋_GB2312"/>
          <w:sz w:val="32"/>
          <w:szCs w:val="32"/>
          <w:lang w:val="zh-CN"/>
        </w:rPr>
        <w:t>%；</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9</w:t>
      </w:r>
      <w:r>
        <w:rPr>
          <w:rFonts w:ascii="仿宋_GB2312" w:eastAsia="仿宋_GB2312"/>
          <w:sz w:val="32"/>
          <w:szCs w:val="32"/>
          <w:lang w:val="zh-CN"/>
        </w:rPr>
        <w:t>.害防治及应急管理支出（类）</w:t>
      </w:r>
      <w:r>
        <w:rPr>
          <w:rFonts w:hint="eastAsia" w:ascii="仿宋_GB2312" w:eastAsia="仿宋_GB2312"/>
          <w:sz w:val="32"/>
          <w:szCs w:val="32"/>
          <w:lang w:val="zh-CN"/>
        </w:rPr>
        <w:t>15.00</w:t>
      </w:r>
      <w:r>
        <w:rPr>
          <w:rFonts w:ascii="仿宋_GB2312" w:eastAsia="仿宋_GB2312"/>
          <w:sz w:val="32"/>
          <w:szCs w:val="32"/>
          <w:lang w:val="zh-CN"/>
        </w:rPr>
        <w:t>万元，占</w:t>
      </w:r>
      <w:r>
        <w:rPr>
          <w:rFonts w:hint="eastAsia" w:ascii="仿宋_GB2312" w:eastAsia="仿宋_GB2312"/>
          <w:sz w:val="32"/>
          <w:szCs w:val="32"/>
          <w:lang w:val="zh-CN"/>
        </w:rPr>
        <w:t>0.31</w:t>
      </w:r>
      <w:r>
        <w:rPr>
          <w:rFonts w:ascii="仿宋_GB2312" w:eastAsia="仿宋_GB2312"/>
          <w:sz w:val="32"/>
          <w:szCs w:val="32"/>
          <w:lang w:val="zh-CN"/>
        </w:rPr>
        <w:t>%；</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10</w:t>
      </w:r>
      <w:r>
        <w:rPr>
          <w:rFonts w:ascii="仿宋_GB2312" w:eastAsia="仿宋_GB2312"/>
          <w:sz w:val="32"/>
          <w:szCs w:val="32"/>
          <w:lang w:val="zh-CN"/>
        </w:rPr>
        <w:t>.其他支出（类）</w:t>
      </w:r>
      <w:r>
        <w:rPr>
          <w:rFonts w:hint="eastAsia" w:ascii="仿宋_GB2312" w:eastAsia="仿宋_GB2312"/>
          <w:sz w:val="32"/>
          <w:szCs w:val="32"/>
          <w:lang w:val="zh-CN"/>
        </w:rPr>
        <w:t>7.88</w:t>
      </w:r>
      <w:r>
        <w:rPr>
          <w:rFonts w:ascii="仿宋_GB2312" w:eastAsia="仿宋_GB2312"/>
          <w:sz w:val="32"/>
          <w:szCs w:val="32"/>
          <w:lang w:val="zh-CN"/>
        </w:rPr>
        <w:t>万元，占</w:t>
      </w:r>
      <w:r>
        <w:rPr>
          <w:rFonts w:hint="eastAsia" w:ascii="仿宋_GB2312" w:eastAsia="仿宋_GB2312"/>
          <w:sz w:val="32"/>
          <w:szCs w:val="32"/>
          <w:lang w:val="zh-CN"/>
        </w:rPr>
        <w:t>0.16</w:t>
      </w:r>
      <w:r>
        <w:rPr>
          <w:rFonts w:ascii="仿宋_GB2312" w:eastAsia="仿宋_GB2312"/>
          <w:sz w:val="32"/>
          <w:szCs w:val="32"/>
          <w:lang w:val="zh-CN"/>
        </w:rPr>
        <w:t>%</w:t>
      </w:r>
      <w:r>
        <w:rPr>
          <w:rFonts w:hint="eastAsia" w:ascii="仿宋_GB2312" w:eastAsia="仿宋_GB231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1.农林水支出（类）水利（款）农村供水（项）:支出决算数为100.00万元，比上年决算增加100.00万元，增长100%，主要原因是：单位本年雀仁乡守边、固边人畜饮水项目经费增加。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2.农林水支出（类）巩固脱贫攻坚成果衔接乡村振兴（款）其他巩固脱贫攻坚成果衔接乡村振兴支出（项）:支出决算数为318.79万元，比上年决算增加318.79万元，增长100%，主要原因是：木垒县雀仁乡</w:t>
      </w:r>
      <w:r>
        <w:rPr>
          <w:rFonts w:hint="eastAsia" w:ascii="仿宋_GB2312" w:eastAsia="仿宋_GB2312"/>
          <w:sz w:val="32"/>
          <w:szCs w:val="32"/>
          <w:lang w:val="en-US" w:eastAsia="zh-CN"/>
        </w:rPr>
        <w:t>2</w:t>
      </w:r>
      <w:r>
        <w:rPr>
          <w:rFonts w:hint="eastAsia" w:ascii="仿宋_GB2312" w:eastAsia="仿宋_GB2312"/>
          <w:sz w:val="32"/>
          <w:szCs w:val="32"/>
          <w:lang w:val="zh-CN"/>
        </w:rPr>
        <w:t>023年人居环境整治项目经费增加。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3.灾害防治及应急管理支出（类）应急管理事务（款）安全监管（项）:支出决算数为15.00万元，比上年决算增加15.00万元，增长100%，主要原因是：本年雀仁乡安全生产专项项目经费增加。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4.社会保障和就业支出（类）抚恤（款）死亡抚恤（项）:支出决算数为7.13万元，比上年决算减少17.66万元，下降</w:t>
      </w:r>
      <w:r>
        <w:rPr>
          <w:rFonts w:hint="eastAsia" w:ascii="仿宋_GB2312" w:hAnsi="仿宋_GB2312" w:eastAsia="仿宋_GB2312" w:cs="仿宋_GB2312"/>
          <w:sz w:val="32"/>
          <w:szCs w:val="32"/>
        </w:rPr>
        <w:t>71.24%</w:t>
      </w:r>
      <w:r>
        <w:rPr>
          <w:rFonts w:hint="eastAsia" w:ascii="仿宋_GB2312" w:eastAsia="仿宋_GB2312"/>
          <w:sz w:val="32"/>
          <w:szCs w:val="32"/>
          <w:lang w:val="zh-CN"/>
        </w:rPr>
        <w:t>，主要原因是：单位本年人员丧葬费、抚恤金补助较上年减少。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5.社会保障和就业支出（类）行政事业单位养老支出（款）事业单位离退休（项）:支出决算数为3.30万元，比上年决算增加3.30万元，增长100%，主要原因是：单位本年退休人员交通补助、取暖费增加。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6.社会保障和就业支出（类）行政事业单位养老支出（款）行政单位离退休（项）:支出决算数为2.77万元，比上年决算增加0.20万元，增长</w:t>
      </w:r>
      <w:r>
        <w:rPr>
          <w:rFonts w:hint="eastAsia" w:ascii="仿宋_GB2312" w:hAnsi="仿宋_GB2312" w:eastAsia="仿宋_GB2312" w:cs="仿宋_GB2312"/>
          <w:sz w:val="32"/>
          <w:szCs w:val="32"/>
        </w:rPr>
        <w:t>7.78%</w:t>
      </w:r>
      <w:r>
        <w:rPr>
          <w:rFonts w:hint="eastAsia" w:ascii="仿宋_GB2312" w:eastAsia="仿宋_GB2312"/>
          <w:sz w:val="32"/>
          <w:szCs w:val="32"/>
          <w:lang w:val="zh-CN"/>
        </w:rPr>
        <w:t>，主要原因是：单位本年退休人员交通补助、取暖费增加。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7.农林水支出（类）林业和草原（款）其他林业和草原支出（项）:支出决算数为1,590.16万元，比上年决算增加1,083.99万元，增长214.16%，主要原因是：雀仁乡草原安置补助费、临时草原补偿费增加。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8.农林水支出（类）农业农村（款）农业资源保护修复与利用（项）:支出决算数为15.24万元，比上年决算减少872.41万元，下降98.28%，主要原因是：2023年农田地膜科学使用回收项目经费减少。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9.农林水支出（类）水利（款）其他水利支出（项）:支出决算数为5.00万元，比上年决算增加0.00万元，增长0.00%，主要原因是：与上年对比无差异。</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10.社会保障和就业支出（类）行政事业单位养老支出（款）机关事业单位职业年金缴费支出（项）:支出决算数为23.11万元，比上年决算增加11.43万元，增长</w:t>
      </w:r>
      <w:r>
        <w:rPr>
          <w:rFonts w:hint="eastAsia" w:ascii="仿宋_GB2312" w:hAnsi="仿宋_GB2312" w:eastAsia="仿宋_GB2312" w:cs="仿宋_GB2312"/>
          <w:sz w:val="32"/>
          <w:szCs w:val="32"/>
        </w:rPr>
        <w:t>97.86%</w:t>
      </w:r>
      <w:r>
        <w:rPr>
          <w:rFonts w:hint="eastAsia" w:ascii="仿宋_GB2312" w:eastAsia="仿宋_GB2312"/>
          <w:sz w:val="32"/>
          <w:szCs w:val="32"/>
          <w:lang w:val="zh-CN"/>
        </w:rPr>
        <w:t>，主要原因是：单位本年退休人员增加，职业年金缴费增加。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11.社会保障和就业支出（类）行政事业单位养老支出（款）机关事业单位基本养老保险缴费支出（项）:支出决算数为77.68万元，比上年决算增加13.22万元，增长20.51%，主要原因是：单位</w:t>
      </w:r>
      <w:r>
        <w:rPr>
          <w:rFonts w:hint="eastAsia" w:ascii="仿宋_GB2312" w:eastAsia="仿宋_GB2312"/>
          <w:sz w:val="32"/>
          <w:szCs w:val="32"/>
          <w:lang w:val="en-US" w:eastAsia="zh-CN"/>
        </w:rPr>
        <w:t>在职人员工资</w:t>
      </w:r>
      <w:r>
        <w:rPr>
          <w:rFonts w:hint="eastAsia" w:ascii="仿宋_GB2312" w:eastAsia="仿宋_GB2312"/>
          <w:sz w:val="32"/>
          <w:szCs w:val="32"/>
          <w:lang w:val="zh-CN"/>
        </w:rPr>
        <w:t>调增，人员养老保险缴费增加。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12.农林水支出（类）农业农村（款）其他农业农村支出（项）:支出决算数为70.00万元，比上年决算减少3,144.99万元，下降97.82%，主要原因是：本年单位</w:t>
      </w:r>
      <w:r>
        <w:rPr>
          <w:rFonts w:hint="eastAsia" w:ascii="仿宋_GB2312" w:eastAsia="仿宋_GB2312"/>
          <w:sz w:val="32"/>
          <w:szCs w:val="32"/>
          <w:lang w:val="en-US" w:eastAsia="zh-CN"/>
        </w:rPr>
        <w:t>自治区</w:t>
      </w:r>
      <w:r>
        <w:rPr>
          <w:rFonts w:hint="eastAsia" w:ascii="仿宋_GB2312" w:eastAsia="仿宋_GB2312"/>
          <w:sz w:val="32"/>
          <w:szCs w:val="32"/>
          <w:lang w:val="zh-CN"/>
        </w:rPr>
        <w:t>人居环境整治项目经费减少。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13.社会保障和就业支出（类）社会福利（款）老年福利（项）:支出决算数为2.90万元，比上年决算减少8.97万元，下降</w:t>
      </w:r>
      <w:r>
        <w:rPr>
          <w:rFonts w:hint="eastAsia" w:ascii="仿宋_GB2312" w:hAnsi="仿宋_GB2312" w:eastAsia="仿宋_GB2312" w:cs="仿宋_GB2312"/>
          <w:sz w:val="32"/>
          <w:szCs w:val="32"/>
        </w:rPr>
        <w:t>75.57%</w:t>
      </w:r>
      <w:r>
        <w:rPr>
          <w:rFonts w:hint="eastAsia" w:ascii="仿宋_GB2312" w:eastAsia="仿宋_GB2312"/>
          <w:sz w:val="32"/>
          <w:szCs w:val="32"/>
          <w:lang w:val="zh-CN"/>
        </w:rPr>
        <w:t>，主要原因是：本年雀仁乡高龄补贴项目经费减少。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14.一般公共服务支出（类）组织事务（款）其他组织事务支出（项）:支出决算数为2.78万元，比上年决算增加2.78万元，增长100%，主要原因是：单位新增雀仁乡村党支部“五个好”党支部范点补助项目经费。</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15.一般公共服务支出（类）纪检监察事务（款）其他纪检监察事务支出（项）:支出决算数为1.50万元，比上年决算增加0.50万元，增长50.00%，主要原因是：2023年中央政法纪委监察转移支付项目经费增加。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16.城乡社区支出（类）城乡社区公共设施（款）其他城乡社区公共设施支出（项）:支出决算数为90.60万元，比上年决算减少49.60万元，下降35.38%，主要原因是：雀仁乡干部周转宿舍建设项目经费减少。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17.农林水支出（类）农村综合改革（款）对村民委员会和村党支部的补助（项）:支出决算数为348.14万元，比上年决算增加</w:t>
      </w:r>
      <w:r>
        <w:rPr>
          <w:rFonts w:hint="eastAsia" w:ascii="仿宋_GB2312" w:hAnsi="仿宋_GB2312" w:eastAsia="仿宋_GB2312" w:cs="仿宋_GB2312"/>
          <w:sz w:val="32"/>
          <w:szCs w:val="32"/>
        </w:rPr>
        <w:t>37.84</w:t>
      </w:r>
      <w:r>
        <w:rPr>
          <w:rFonts w:hint="eastAsia" w:ascii="仿宋_GB2312" w:eastAsia="仿宋_GB2312"/>
          <w:sz w:val="32"/>
          <w:szCs w:val="32"/>
          <w:lang w:val="zh-CN"/>
        </w:rPr>
        <w:t>万元，增长12.19%，主要原因是：对村民委员会和村党支部的生活补助经费增加。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18.一般公共服务支出（类）党委办公厅（室）及相关机构事务（款）其他党委办公厅（室）及相关机构事务支出（项）:支出决算数为19.00万元，比上年决算增加19.00万元，增长100%，主要原因是：单位新增基层财政运转补助项目经费。</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19.一般公共服务支出（类）政府办公厅（室）及相关机构事务（款）行政运行（项）:支出决算数为551.93万元，比上年决算减少</w:t>
      </w:r>
      <w:r>
        <w:rPr>
          <w:rFonts w:hint="eastAsia" w:ascii="仿宋_GB2312" w:hAnsi="仿宋_GB2312" w:eastAsia="仿宋_GB2312" w:cs="仿宋_GB2312"/>
          <w:sz w:val="32"/>
          <w:szCs w:val="32"/>
        </w:rPr>
        <w:t>81.36</w:t>
      </w:r>
      <w:r>
        <w:rPr>
          <w:rFonts w:hint="eastAsia" w:ascii="仿宋_GB2312" w:eastAsia="仿宋_GB2312"/>
          <w:sz w:val="32"/>
          <w:szCs w:val="32"/>
          <w:lang w:val="zh-CN"/>
        </w:rPr>
        <w:t>万元，下降12.85%，主要原因是：单位</w:t>
      </w:r>
      <w:r>
        <w:rPr>
          <w:rFonts w:hint="eastAsia" w:ascii="仿宋_GB2312" w:eastAsia="仿宋_GB2312"/>
          <w:sz w:val="32"/>
          <w:szCs w:val="32"/>
          <w:lang w:val="en-US" w:eastAsia="zh-CN"/>
        </w:rPr>
        <w:t>本年长聘人员工资福利费用较上年减少</w:t>
      </w:r>
      <w:r>
        <w:rPr>
          <w:rFonts w:hint="eastAsia" w:ascii="仿宋_GB2312" w:eastAsia="仿宋_GB2312"/>
          <w:sz w:val="32"/>
          <w:szCs w:val="32"/>
          <w:lang w:val="zh-CN"/>
        </w:rPr>
        <w:t>。</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20.公共安全支出（类）其他公共安全支出（款）其他公共安全支出（项）:支出决算数为13.69万元，比上年决算增加13.69万元，增长100%，主要原因是：本年单位新增基层财政运转补助项目经费。</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21.农林水支出（类）农业农村（款）事业运行（项）:支出决算数为389.04万元，比上年决算增加17.74万元，增长4.78%，主要原因是：增加乡镇考核优秀奖金、公务员绩效奖励资金。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22.农林水支出（类）巩固脱贫攻坚成果衔接乡村振兴（款）生产发展（项）:支出决算数为853.80万元，比上年决算增加746.38万元，增长694.82%，主要原因是：增加木垒县雀仁乡养殖小区建设及鲜食玉米加工设备购置项目资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23.农林水支出（类）农村综合改革（款）对村级公益事业建设的补助（项）:支出决算数为115.00万元，比上年决算增加45.00万元，增长64.29%，主要原因是：本年雀仁乡村级基础设施建设项目经费增加。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24.住房保障支出（类）住房改革支出（款）住房公积金（项）:支出决算数为62.01万元，比上年决算增加3.25万元，增长5.53%，主要原因是：单位</w:t>
      </w:r>
      <w:r>
        <w:rPr>
          <w:rFonts w:hint="eastAsia" w:ascii="仿宋_GB2312" w:eastAsia="仿宋_GB2312"/>
          <w:sz w:val="32"/>
          <w:szCs w:val="32"/>
          <w:lang w:val="en-US" w:eastAsia="zh-CN"/>
        </w:rPr>
        <w:t>本年在职人员工资</w:t>
      </w:r>
      <w:r>
        <w:rPr>
          <w:rFonts w:hint="eastAsia" w:ascii="仿宋_GB2312" w:eastAsia="仿宋_GB2312"/>
          <w:sz w:val="32"/>
          <w:szCs w:val="32"/>
          <w:lang w:val="zh-CN"/>
        </w:rPr>
        <w:t>调增，相应人员公积金缴费增加。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25.文化旅游体育与传媒支出（类）文化和旅游（款）其他文化和旅游支出（项）:支出决算数为5.72万元，比上年决算增加5.72万元，增长100%，主要原因是：增加2023年中央补助地方美术馆、公共图书馆、文化馆（站）免费开放专项资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26.农林水支出（类）水利（款）水利工程运行与维护（项）:支出决算数为2.40万元，比上年决算增加2.40万元，增长100%，主要原因是：本年雀仁乡维修养护费及临时工工资项目经费增加。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27.农林水支出（类）巩固脱贫攻坚成果衔接乡村振兴（款）农村基础设施建设（项）:支出决算数为35.89万元，比上年决算增加35.89万元，增长100%，主要原因是：雀仁乡人居环境整治围墙修建、园林绿化等工程项目资金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28.社会保障和就业支出（类）其他社会保障和就业支出（款）其他社会保障和就业支出（项）:支出决算数为45.76万元，比上年决算减少18.74万元，下降</w:t>
      </w:r>
      <w:r>
        <w:rPr>
          <w:rFonts w:hint="eastAsia" w:ascii="仿宋_GB2312" w:hAnsi="仿宋_GB2312" w:eastAsia="仿宋_GB2312" w:cs="仿宋_GB2312"/>
          <w:sz w:val="32"/>
          <w:szCs w:val="32"/>
        </w:rPr>
        <w:t>29.05%</w:t>
      </w:r>
      <w:r>
        <w:rPr>
          <w:rFonts w:hint="eastAsia" w:ascii="仿宋_GB2312" w:eastAsia="仿宋_GB2312"/>
          <w:sz w:val="32"/>
          <w:szCs w:val="32"/>
          <w:lang w:val="zh-CN"/>
        </w:rPr>
        <w:t>，主要原因是：单位本年雀仁乡第一批困难群众救助资金减少。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29.卫生健康支出（类）医疗保障管理事务（款）医疗保障经办事务（项）:支出决算数为3.00万元，比上年决算增加3.00万元，增长100%，主要原因是：上年度该经费在主款核算，未单独设立款项，本年度根据预算细化要求明细核算，导致此项经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30.社会保障和就业支出（类）残疾人事业（款）残疾人生活和护理补贴（项）:支出决算数为6.14万元，比上年决算减少</w:t>
      </w:r>
      <w:r>
        <w:rPr>
          <w:rFonts w:hint="eastAsia" w:ascii="仿宋_GB2312" w:hAnsi="仿宋_GB2312" w:eastAsia="仿宋_GB2312" w:cs="仿宋_GB2312"/>
          <w:sz w:val="32"/>
          <w:szCs w:val="32"/>
        </w:rPr>
        <w:t>12.86</w:t>
      </w:r>
      <w:r>
        <w:rPr>
          <w:rFonts w:hint="eastAsia" w:ascii="仿宋_GB2312" w:eastAsia="仿宋_GB2312"/>
          <w:sz w:val="32"/>
          <w:szCs w:val="32"/>
          <w:lang w:val="zh-CN"/>
        </w:rPr>
        <w:t>万元，下降</w:t>
      </w:r>
      <w:r>
        <w:rPr>
          <w:rFonts w:hint="eastAsia" w:ascii="仿宋_GB2312" w:hAnsi="仿宋_GB2312" w:eastAsia="仿宋_GB2312" w:cs="仿宋_GB2312"/>
          <w:sz w:val="32"/>
          <w:szCs w:val="32"/>
        </w:rPr>
        <w:t>67.68%</w:t>
      </w:r>
      <w:r>
        <w:rPr>
          <w:rFonts w:hint="eastAsia" w:ascii="仿宋_GB2312" w:eastAsia="仿宋_GB2312"/>
          <w:sz w:val="32"/>
          <w:szCs w:val="32"/>
          <w:lang w:val="zh-CN"/>
        </w:rPr>
        <w:t>，主要原因是：本年雀仁乡残疾人两项补贴项目资金减少。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31.农林水支出（类）农业农村（款）农业生产发展（项）:支出决算数为4.34万元，比上年决算减少81.27万元，下降94.93%，主要原因是：2023年中央农业生产发展资金（农机购置补贴）减少。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32.文化旅游体育与传媒支出（类）其他文化旅游体育与传媒支出（款）其他文化旅游体育与传媒支出（项）:支出决算数为16.92万元，比上年决算增加6.71万元，增长65.72%，主要原因是：中央补助地方公共文化服务体系建设补助资金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33.一般公共服务支出（类）人大事务（款）其他人大事务支出（项）:支出决算数为3.00万元，比上年决算增加3.00万元，增长100%，主要原因是：雀仁乡人大代表之家活动经费增加。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34.文化旅游体育与传媒支出（类）文化和旅游（款）群众文化（项）:支出决算数为1.00万元，比上年决算增加1.00万元，增长100%，主要原因是：2023年木垒县雀仁乡元宵节社火展演比赛项目经费增加。</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35.其他支出（类）其他支出（款）其他支出（项）:支出决算数为7.88万元，比上年决算减少2.00万元，下降20.24%，主要原因是：本年单位为民办实事、办好事工作个人补助项目经费减少。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36.社会保障和就业支出（类）临时救助（款）临时救助支出（项）:支出决算数为0.00万元，比上年决算减少17.07万元，下降100%，主要原因是：本年此科目减少困难群众救助补助资金。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37.社会保障和就业支出（类）其他生活救助（款）其他城市生活救助（项）:支出决算数为0.00万元，比上年决算减少72.11万元，下降100%，主要原因是：本年此科目减少困难群众救助补助资金。</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38.卫生健康支出（类）公共卫生（款）突发公共卫生事件应急处理（项）:支出决算数为0.00万元，比上年决算减少62.48万元，下降100%，主要原因是：本年此科目减少雀仁乡防疫补助经费。</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39.农林水支出（类）其他农林水支出（款）其他农林水支出（项）:支出决算数为0.00万元，比上年决算减少15.45万元，下降100%，主要原因是：本年此科目减少河中村冷链保鲜建设项目。</w:t>
      </w:r>
    </w:p>
    <w:p>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40.一般公共服务支出（类）政府办公厅（室）及相关机构事务（款）其他政府办公厅（室）及相关机构事务支出（项）:支出决算数为0.00万元，比上年决算减少3.58万元，下降100%，主要原因是：本年此科目减少木垒县雀仁乡村民小组长补助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1,465.10万元，其中：人员经费1,278.70万元，包括：基本工资、津贴补贴、奖金、机关事业单位基本养老保险缴费、职业年金缴费、职工基本医疗保险缴费、公务员医疗补助缴费、其他社会保障缴费、住房公积金、其他工资福利支出、退休费、生活补助、奖励金。</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公用经费186.40万元，包括：办公费、水费、电费、邮电费、维修（护）费、租赁费、培训费、专用材料费、劳务费、公务用车运行维护费、其他商品和服务支出。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“三公”经费支出3.31万元，</w:t>
      </w:r>
      <w:r>
        <w:rPr>
          <w:rFonts w:hint="eastAsia" w:ascii="仿宋_GB2312" w:eastAsia="仿宋_GB2312"/>
          <w:sz w:val="32"/>
          <w:szCs w:val="32"/>
        </w:rPr>
        <w:t>比上年</w:t>
      </w:r>
      <w:r>
        <w:rPr>
          <w:rFonts w:hint="eastAsia" w:ascii="仿宋_GB2312" w:eastAsia="仿宋_GB2312"/>
          <w:sz w:val="32"/>
          <w:szCs w:val="32"/>
          <w:lang w:val="zh-CN"/>
        </w:rPr>
        <w:t>减少8.10万元，</w:t>
      </w:r>
      <w:r>
        <w:rPr>
          <w:rFonts w:hint="eastAsia" w:ascii="仿宋_GB2312" w:eastAsia="仿宋_GB2312"/>
          <w:sz w:val="32"/>
          <w:szCs w:val="32"/>
        </w:rPr>
        <w:t>下降70.99%,</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主要原因是：单位本年无此项经费；公务用车购置及运行维护费支出3.31万元，占100.00%，比上年减少8.10万元，</w:t>
      </w:r>
      <w:r>
        <w:rPr>
          <w:rFonts w:hint="eastAsia" w:ascii="仿宋_GB2312" w:eastAsia="仿宋_GB2312"/>
          <w:sz w:val="32"/>
          <w:szCs w:val="32"/>
        </w:rPr>
        <w:t>下降70.99%,</w:t>
      </w:r>
      <w:r>
        <w:rPr>
          <w:rFonts w:hint="eastAsia" w:ascii="仿宋_GB2312" w:eastAsia="仿宋_GB2312"/>
          <w:sz w:val="32"/>
          <w:szCs w:val="32"/>
          <w:lang w:val="zh-CN"/>
        </w:rPr>
        <w:t>主要原因是：绿色出行，车辆维修维护费、燃油费等减少；公务接待费支出0.00万元，占0.00%，比上年增加0.00万元，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3.31万元，其中：公务用车购置费0.00万元，公务用车运行维护费3.31万元。公务用车运行维护费开支内容包括公务用车燃油费、车辆维修维护费、保险费、过路费等。公务用车购置数0辆，公务用车保有量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5辆，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bookmarkStart w:id="18" w:name="_Hlk181962915"/>
      <w:r>
        <w:rPr>
          <w:rFonts w:hint="eastAsia" w:ascii="仿宋_GB2312" w:eastAsia="仿宋_GB2312"/>
          <w:sz w:val="32"/>
          <w:szCs w:val="32"/>
          <w:lang w:val="zh-CN"/>
        </w:rPr>
        <w:t>差异车辆为1辆，属于业务用车，未使用财政拨款公务用车运行维护费</w:t>
      </w:r>
      <w:bookmarkEnd w:id="18"/>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预算数3.31万元，决算数3.31万元，预决算差异率0.00%，主要原因是：严格按照预算执行，预决算对比无差异。其中：因公出国（境）费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预算数3.31万元，决算数3.31万元，预决算差异率0.00%，主要原因是：严格按照预算执行，预决算对比无差异；公务接待费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9" w:name="_Toc5810"/>
      <w:bookmarkStart w:id="20" w:name="_Toc7927"/>
      <w:r>
        <w:rPr>
          <w:rFonts w:hint="eastAsia" w:ascii="黑体" w:hAnsi="黑体" w:eastAsia="黑体" w:cs="宋体"/>
          <w:bCs/>
          <w:kern w:val="0"/>
          <w:sz w:val="32"/>
          <w:szCs w:val="32"/>
        </w:rPr>
        <w:t>八、政府性基金预算财政拨款收入支出决算情况说明</w:t>
      </w:r>
      <w:bookmarkEnd w:id="19"/>
      <w:bookmarkEnd w:id="20"/>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2023年度政府性基金预算财政拨款收入总计199.78万元，其中：年初结转和结余0.00万元，本年收入199.78万元。政府性基金预算财政拨款支出总计199.78万元，其中：年末结转和结余0.00万元，本年支出199.78万元。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减少143.74万元,下降41.84%,主要原因是：单位本年雀仁乡风貌提升项目经费减少。与年初预算相比,年初预算数0.00万元，决算数199.78万元，预决算差异率100.00%，主要原因是：年中追加雀仁乡信访专项项目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政府性基金预算财政拨款支出199.78万元。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1.城乡社区支出（类）国有土地使用权出让收入安排的支出（款）农村基础设施建设支出（项）:支出决算数为30.72万元，比上年决算增加30.72万元，增长100%，主要原因是：本年雀仁乡信访专项项目经费增加。</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2.社会保障和就业支出（类）大中型水库移民后期扶持基金支出（款）移民补助（项）:支出决算数为1.98万元，比上年决算增加0.00万元，增长0.00%，主要原因是：与上年对比无差异。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城乡社区支出（类）国有土地使用权出让收入安排的支出（款）农业农村生态环境支出（项）:支出决算数为167.08万元，比上年决算减少174.46万元，下降51.08%，主要原因是：单位本年雀仁乡风貌提升项目经费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1" w:name="_Toc1235"/>
      <w:bookmarkStart w:id="22" w:name="_Toc7314"/>
      <w:r>
        <w:rPr>
          <w:rFonts w:hint="eastAsia" w:ascii="黑体" w:hAnsi="黑体" w:eastAsia="黑体" w:cs="宋体"/>
          <w:bCs/>
          <w:kern w:val="0"/>
          <w:sz w:val="32"/>
          <w:szCs w:val="32"/>
        </w:rPr>
        <w:t>十、其他重要事项的情况说明</w:t>
      </w:r>
      <w:bookmarkEnd w:id="21"/>
      <w:bookmarkEnd w:id="22"/>
    </w:p>
    <w:p>
      <w:pPr>
        <w:ind w:firstLine="640" w:firstLineChars="200"/>
        <w:jc w:val="left"/>
        <w:outlineLvl w:val="2"/>
        <w:rPr>
          <w:rFonts w:hint="eastAsia" w:ascii="黑体" w:hAnsi="黑体" w:eastAsia="黑体"/>
          <w:sz w:val="32"/>
          <w:szCs w:val="32"/>
        </w:rPr>
      </w:pPr>
      <w:bookmarkStart w:id="23" w:name="_Toc13105"/>
      <w:bookmarkStart w:id="24" w:name="_Toc14519"/>
      <w:r>
        <w:rPr>
          <w:rFonts w:hint="eastAsia" w:ascii="黑体" w:hAnsi="黑体" w:eastAsia="黑体"/>
          <w:sz w:val="32"/>
          <w:szCs w:val="32"/>
        </w:rPr>
        <w:t>（一）机关运行经费支出情况</w:t>
      </w:r>
      <w:bookmarkEnd w:id="23"/>
      <w:bookmarkEnd w:id="24"/>
    </w:p>
    <w:p>
      <w:pPr>
        <w:ind w:firstLine="640" w:firstLineChars="200"/>
        <w:jc w:val="left"/>
        <w:rPr>
          <w:rFonts w:ascii="仿宋_GB2312" w:eastAsia="仿宋_GB2312"/>
          <w:sz w:val="32"/>
          <w:szCs w:val="32"/>
          <w:lang w:val="zh-CN"/>
        </w:rPr>
      </w:pPr>
      <w:bookmarkStart w:id="25" w:name="_Toc26704"/>
      <w:bookmarkStart w:id="26" w:name="_Toc227"/>
      <w:r>
        <w:rPr>
          <w:rFonts w:hint="eastAsia" w:ascii="仿宋_GB2312" w:eastAsia="仿宋_GB2312"/>
          <w:sz w:val="32"/>
          <w:szCs w:val="32"/>
          <w:lang w:val="zh-CN"/>
        </w:rPr>
        <w:t>2023年度木垒哈萨克自治县雀仁乡人民政府（行政单位和参照公务员法管理事业单位）机关运行经费支出186.41万元，比上年增加96.93万元，增长108.33%，主要原因是：本年单位办公费、水费、电费、邮电费增加。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2023年度政府采购支出总额40.04万元，其中：政府采购货物支出2.09万元、政府采购工程支出28.78万元、政府采购服务支出9.17万元。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授予中小企业合同金额36.51万元，占政府采购支出总额的91.18</w:t>
      </w:r>
      <w:r>
        <w:rPr>
          <w:rFonts w:ascii="仿宋_GB2312" w:eastAsia="仿宋_GB2312"/>
          <w:sz w:val="32"/>
          <w:szCs w:val="32"/>
          <w:lang w:val="zh-CN"/>
        </w:rPr>
        <w:t>%</w:t>
      </w:r>
      <w:r>
        <w:rPr>
          <w:rFonts w:hint="eastAsia" w:ascii="仿宋_GB2312" w:eastAsia="仿宋_GB2312"/>
          <w:sz w:val="32"/>
          <w:szCs w:val="32"/>
          <w:lang w:val="zh-CN"/>
        </w:rPr>
        <w:t>，其中：授予小微企业合同金额36.51万元，占政府采购支出总额的91.18</w:t>
      </w:r>
      <w:r>
        <w:rPr>
          <w:rFonts w:ascii="仿宋_GB2312" w:eastAsia="仿宋_GB2312"/>
          <w:sz w:val="32"/>
          <w:szCs w:val="32"/>
          <w:lang w:val="zh-CN"/>
        </w:rPr>
        <w:t>%</w:t>
      </w:r>
      <w:r>
        <w:rPr>
          <w:rFonts w:hint="eastAsia" w:ascii="仿宋_GB2312" w:eastAsia="仿宋_GB2312"/>
          <w:sz w:val="32"/>
          <w:szCs w:val="32"/>
          <w:lang w:val="zh-CN"/>
        </w:rPr>
        <w:t>。</w:t>
      </w:r>
    </w:p>
    <w:p>
      <w:pPr>
        <w:ind w:firstLine="640" w:firstLineChars="200"/>
        <w:jc w:val="left"/>
        <w:rPr>
          <w:rFonts w:eastAsia="黑体"/>
          <w:sz w:val="32"/>
          <w:szCs w:val="30"/>
          <w:lang w:val="zh-CN"/>
        </w:rPr>
      </w:pPr>
      <w:bookmarkStart w:id="27" w:name="_Toc4591"/>
      <w:bookmarkStart w:id="28" w:name="_Toc8391"/>
      <w:r>
        <w:rPr>
          <w:rFonts w:hint="eastAsia" w:eastAsia="黑体"/>
          <w:sz w:val="32"/>
          <w:szCs w:val="30"/>
          <w:lang w:val="zh-CN"/>
        </w:rPr>
        <w:t>（三）国有资产占用情况说明</w:t>
      </w:r>
      <w:bookmarkEnd w:id="27"/>
      <w:bookmarkEnd w:id="28"/>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截至2023年12月31日，固定资产原值2,195.53万元，房屋9,055.71平方米，价值1,462.25万元。车辆5辆，价值66.56万元，其中：副部（省）级及以上领导用车0辆、主要负责人用车0辆、机要通信用车0辆、应急保障用车0辆、执法执勤用车0辆、特种专业技术用车0辆、离退休干部服务用车0辆、其他用车5辆，其他用车主要是：社区工作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w:t>
      </w:r>
      <w:r>
        <w:rPr>
          <w:rFonts w:hint="eastAsia" w:ascii="仿宋_GB2312" w:eastAsia="仿宋_GB2312"/>
          <w:sz w:val="32"/>
          <w:szCs w:val="32"/>
        </w:rPr>
        <w:t>,</w:t>
      </w:r>
      <w:r>
        <w:rPr>
          <w:rFonts w:ascii="仿宋_GB2312" w:eastAsia="仿宋_GB2312"/>
          <w:sz w:val="32"/>
          <w:szCs w:val="32"/>
        </w:rPr>
        <w:t>010.3</w:t>
      </w:r>
      <w:r>
        <w:rPr>
          <w:rFonts w:hint="eastAsia" w:ascii="仿宋_GB2312" w:eastAsia="仿宋_GB2312"/>
          <w:sz w:val="32"/>
          <w:szCs w:val="32"/>
        </w:rPr>
        <w:t>9万元，实际执行总额</w:t>
      </w:r>
      <w:r>
        <w:rPr>
          <w:rFonts w:ascii="仿宋_GB2312" w:eastAsia="仿宋_GB2312"/>
          <w:sz w:val="32"/>
          <w:szCs w:val="32"/>
        </w:rPr>
        <w:t>5</w:t>
      </w:r>
      <w:r>
        <w:rPr>
          <w:rFonts w:hint="eastAsia" w:ascii="仿宋_GB2312" w:eastAsia="仿宋_GB2312"/>
          <w:sz w:val="32"/>
          <w:szCs w:val="32"/>
        </w:rPr>
        <w:t>,</w:t>
      </w:r>
      <w:r>
        <w:rPr>
          <w:rFonts w:ascii="仿宋_GB2312" w:eastAsia="仿宋_GB2312"/>
          <w:sz w:val="32"/>
          <w:szCs w:val="32"/>
        </w:rPr>
        <w:t>010.3</w:t>
      </w:r>
      <w:r>
        <w:rPr>
          <w:rFonts w:hint="eastAsia" w:ascii="仿宋_GB2312" w:eastAsia="仿宋_GB2312"/>
          <w:sz w:val="32"/>
          <w:szCs w:val="32"/>
        </w:rPr>
        <w:t>9万元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预算绩效评价项目15个，全年预算数</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234.98</w:t>
      </w:r>
      <w:r>
        <w:rPr>
          <w:rFonts w:hint="eastAsia" w:ascii="仿宋_GB2312" w:eastAsia="仿宋_GB2312"/>
          <w:sz w:val="32"/>
          <w:szCs w:val="32"/>
        </w:rPr>
        <w:t>万元，全年执行数</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223.27</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研究人员等；二是提高部门整体支出绩效目标设定的合理性，重视部门整体支出绩效评价中的问题总结。具体项目自评情况附绩效自评表及自评报告。</w:t>
      </w:r>
    </w:p>
    <w:tbl>
      <w:tblPr>
        <w:tblStyle w:val="9"/>
        <w:tblW w:w="8522" w:type="dxa"/>
        <w:jc w:val="center"/>
        <w:tblInd w:w="0" w:type="dxa"/>
        <w:tblLayout w:type="fixed"/>
        <w:tblCellMar>
          <w:top w:w="0" w:type="dxa"/>
          <w:left w:w="108" w:type="dxa"/>
          <w:bottom w:w="0" w:type="dxa"/>
          <w:right w:w="108" w:type="dxa"/>
        </w:tblCellMar>
      </w:tblPr>
      <w:tblGrid>
        <w:gridCol w:w="1061"/>
        <w:gridCol w:w="997"/>
        <w:gridCol w:w="1311"/>
        <w:gridCol w:w="1592"/>
        <w:gridCol w:w="1384"/>
        <w:gridCol w:w="945"/>
        <w:gridCol w:w="616"/>
        <w:gridCol w:w="616"/>
      </w:tblGrid>
      <w:tr>
        <w:tblPrEx>
          <w:tblLayout w:type="fixed"/>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Layout w:type="fixed"/>
          <w:tblCellMar>
            <w:top w:w="0" w:type="dxa"/>
            <w:left w:w="108" w:type="dxa"/>
            <w:bottom w:w="0" w:type="dxa"/>
            <w:right w:w="108" w:type="dxa"/>
          </w:tblCellMar>
        </w:tblPrEx>
        <w:trPr>
          <w:trHeight w:val="660"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461"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木垒县雀仁乡政府</w:t>
            </w:r>
          </w:p>
        </w:tc>
      </w:tr>
      <w:tr>
        <w:tblPrEx>
          <w:tblLayout w:type="fixed"/>
          <w:tblCellMar>
            <w:top w:w="0" w:type="dxa"/>
            <w:left w:w="108" w:type="dxa"/>
            <w:bottom w:w="0" w:type="dxa"/>
            <w:right w:w="108" w:type="dxa"/>
          </w:tblCellMar>
        </w:tblPrEx>
        <w:trPr>
          <w:trHeight w:val="570" w:hRule="atLeast"/>
          <w:jc w:val="center"/>
        </w:trPr>
        <w:tc>
          <w:tcPr>
            <w:tcW w:w="10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9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Layout w:type="fixed"/>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465.60</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465.60</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465.60</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2.50</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2.50</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2.50</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1,242.31</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4,542.29</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4,542.29</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1,710.41</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5,010.39</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5,010.39</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705" w:hRule="atLeast"/>
          <w:jc w:val="center"/>
        </w:trPr>
        <w:tc>
          <w:tcPr>
            <w:tcW w:w="10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9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561"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Layout w:type="fixed"/>
          <w:tblCellMar>
            <w:top w:w="0" w:type="dxa"/>
            <w:left w:w="108" w:type="dxa"/>
            <w:bottom w:w="0" w:type="dxa"/>
            <w:right w:w="108" w:type="dxa"/>
          </w:tblCellMar>
        </w:tblPrEx>
        <w:trPr>
          <w:trHeight w:val="200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390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目标1：保障乡党委政府各项工作顺圆满完成；</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目标2：保障乡领导工作正常有序开展；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目标3：保障雀仁乡人大代表经费，确保我乡人代会顺利开展；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目标4：保障7个村村级运转经费及服务群众经费，确保各村工作顺利开展；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目标5：保障惠民资金，确保我乡低保、高龄老人和残疾人能有基本资金保障；</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目标6：召开全乡人代会会议2次。</w:t>
            </w:r>
          </w:p>
        </w:tc>
        <w:tc>
          <w:tcPr>
            <w:tcW w:w="356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截止至本次自评节点：我单位保障了乡党委政府各项工作顺圆满完成和乡领导工作正常有序开展；保障了雀仁乡人大代表经费，确保我乡人代会顺利开展；保障了7个村村级运转经费及服务群众经费，确保了各村工作顺利开展；保障了惠民资金，确保了我乡低保、高龄老人和残疾人能有基本资金保障；召开全乡人代会会议2次。</w:t>
            </w:r>
          </w:p>
        </w:tc>
      </w:tr>
      <w:tr>
        <w:tblPrEx>
          <w:tblLayout w:type="fixed"/>
          <w:tblCellMar>
            <w:top w:w="0" w:type="dxa"/>
            <w:left w:w="108" w:type="dxa"/>
            <w:bottom w:w="0" w:type="dxa"/>
            <w:right w:w="108" w:type="dxa"/>
          </w:tblCellMar>
        </w:tblPrEx>
        <w:trPr>
          <w:trHeight w:val="579"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9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Layout w:type="fixed"/>
          <w:tblCellMar>
            <w:top w:w="0" w:type="dxa"/>
            <w:left w:w="108" w:type="dxa"/>
            <w:bottom w:w="0" w:type="dxa"/>
            <w:right w:w="108" w:type="dxa"/>
          </w:tblCellMar>
        </w:tblPrEx>
        <w:trPr>
          <w:trHeight w:val="741" w:hRule="atLeast"/>
          <w:jc w:val="center"/>
        </w:trPr>
        <w:tc>
          <w:tcPr>
            <w:tcW w:w="10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9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&gt;=59人</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59人</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74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公务保障用车车辆</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&gt;=5辆</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5辆</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741"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9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惠农惠民资金发放率</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741" w:hRule="atLeast"/>
          <w:jc w:val="center"/>
        </w:trPr>
        <w:tc>
          <w:tcPr>
            <w:tcW w:w="10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9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组织政策宣传次数</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&gt;=20次</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20次</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74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发放临时救助次数</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&gt;=5次</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5次</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74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召开全乡人代会会议次数</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74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完成农村富余劳动力转移人数</w:t>
            </w:r>
          </w:p>
        </w:tc>
        <w:tc>
          <w:tcPr>
            <w:tcW w:w="159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&gt;=1007人次</w:t>
            </w:r>
          </w:p>
        </w:tc>
        <w:tc>
          <w:tcPr>
            <w:tcW w:w="138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1007人次</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741"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99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31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城乡居民医疗保险、养老保险全民参保率</w:t>
            </w:r>
          </w:p>
        </w:tc>
        <w:tc>
          <w:tcPr>
            <w:tcW w:w="159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38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741"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9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9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8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741"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9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9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8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741"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9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31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群众满意度</w:t>
            </w:r>
          </w:p>
        </w:tc>
        <w:tc>
          <w:tcPr>
            <w:tcW w:w="159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38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雀仁乡人民政府2023年工作计划</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03"/>
        <w:gridCol w:w="504"/>
        <w:gridCol w:w="1287"/>
        <w:gridCol w:w="346"/>
        <w:gridCol w:w="924"/>
        <w:gridCol w:w="573"/>
        <w:gridCol w:w="910"/>
        <w:gridCol w:w="801"/>
        <w:gridCol w:w="249"/>
        <w:gridCol w:w="413"/>
        <w:gridCol w:w="262"/>
        <w:gridCol w:w="572"/>
        <w:gridCol w:w="407"/>
        <w:gridCol w:w="771"/>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5"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2021年雀仁乡干部周转宿舍建设项目</w:t>
            </w:r>
          </w:p>
        </w:tc>
      </w:tr>
      <w:tr>
        <w:tblPrEx>
          <w:tblLayout w:type="fixed"/>
          <w:tblCellMar>
            <w:top w:w="0" w:type="dxa"/>
            <w:left w:w="108" w:type="dxa"/>
            <w:bottom w:w="0" w:type="dxa"/>
            <w:right w:w="108" w:type="dxa"/>
          </w:tblCellMar>
        </w:tblPrEx>
        <w:trPr>
          <w:trHeight w:val="288" w:hRule="atLeast"/>
          <w:jc w:val="center"/>
        </w:trPr>
        <w:tc>
          <w:tcPr>
            <w:tcW w:w="1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4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10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7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4"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木垒县雀仁乡干部周转房30套，1050平方米，配套水电暖基础设施。为栓人留心，创造良好的工作环境，有效改善生活与居住条件和居住环境，使工作人员能够安心工作，扎实基础。及时完成支付2021年乡镇干部周转房建设项目资金70.5万元</w:t>
            </w:r>
          </w:p>
        </w:tc>
        <w:tc>
          <w:tcPr>
            <w:tcW w:w="3475"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已完成30套周转房的建设，建设面积达到1050平方米。于2023年4月支付项目资金70.5万元。创造了良好的工作环境，有效改善了生活与居住条件和居住环境，使工作人员能够安心工作，扎实基础</w:t>
            </w:r>
          </w:p>
        </w:tc>
      </w:tr>
      <w:tr>
        <w:tblPrEx>
          <w:tblLayout w:type="fixed"/>
          <w:tblCellMar>
            <w:top w:w="0" w:type="dxa"/>
            <w:left w:w="108" w:type="dxa"/>
            <w:bottom w:w="0" w:type="dxa"/>
            <w:right w:w="108" w:type="dxa"/>
          </w:tblCellMar>
        </w:tblPrEx>
        <w:trPr>
          <w:trHeight w:val="312"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4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新建周转房面积</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&gt;=1050平方米</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=1050平方米</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新建周转房套数</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&gt;=30套</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=30套</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项目设计变更率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周转房正常使用率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周转房利用率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干部满意度</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97"/>
        <w:gridCol w:w="497"/>
        <w:gridCol w:w="1043"/>
        <w:gridCol w:w="583"/>
        <w:gridCol w:w="924"/>
        <w:gridCol w:w="573"/>
        <w:gridCol w:w="901"/>
        <w:gridCol w:w="863"/>
        <w:gridCol w:w="247"/>
        <w:gridCol w:w="400"/>
        <w:gridCol w:w="253"/>
        <w:gridCol w:w="572"/>
        <w:gridCol w:w="402"/>
        <w:gridCol w:w="767"/>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2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2023年村级运转经费和服务群众工作经费</w:t>
            </w:r>
          </w:p>
        </w:tc>
      </w:tr>
      <w:tr>
        <w:tblPrEx>
          <w:tblLayout w:type="fixed"/>
          <w:tblCellMar>
            <w:top w:w="0" w:type="dxa"/>
            <w:left w:w="108" w:type="dxa"/>
            <w:bottom w:w="0" w:type="dxa"/>
            <w:right w:w="108" w:type="dxa"/>
          </w:tblCellMar>
        </w:tblPrEx>
        <w:trPr>
          <w:trHeight w:val="288" w:hRule="atLeast"/>
          <w:jc w:val="center"/>
        </w:trPr>
        <w:tc>
          <w:tcPr>
            <w:tcW w:w="9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2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9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9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99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210.00</w:t>
            </w:r>
          </w:p>
        </w:tc>
        <w:tc>
          <w:tcPr>
            <w:tcW w:w="14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99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210.00</w:t>
            </w:r>
          </w:p>
        </w:tc>
        <w:tc>
          <w:tcPr>
            <w:tcW w:w="14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99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1"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0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1"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依据木财预字【2023】1号文件要求，雀仁乡计划使用村级运转经费和服务群众经费资金保障雀仁乡乡辖区7个村正常办公运转、服务各村群众改善村集体工作、生活条件，巩固基层党组织政权，以保证基层单位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人民群众服务，为村委会提供办公经费补助，改善单位办公条件，使干部更好的开展日常工作。</w:t>
            </w:r>
          </w:p>
        </w:tc>
        <w:tc>
          <w:tcPr>
            <w:tcW w:w="350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用于村级运转经费和服务群众经费资金保障雀仁乡乡辖区7个村正常办公运转、服务各村群众改善村集体工作、生活条件，巩固基层党组织政权，保证了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人民群众服务，为村委会提供了办公经费补助，改善了单位办公条件，使干部更好的开展日常工作。</w:t>
            </w:r>
          </w:p>
        </w:tc>
      </w:tr>
      <w:tr>
        <w:tblPrEx>
          <w:tblLayout w:type="fixed"/>
          <w:tblCellMar>
            <w:top w:w="0" w:type="dxa"/>
            <w:left w:w="108" w:type="dxa"/>
            <w:bottom w:w="0" w:type="dxa"/>
            <w:right w:w="108" w:type="dxa"/>
          </w:tblCellMar>
        </w:tblPrEx>
        <w:trPr>
          <w:trHeight w:val="312"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8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8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&gt;=7个</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=46人</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=46人</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村民纠纷处理率</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公用经费支付及时率</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人均运转经费数</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&lt;=0.65万元</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=0.65万元</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改善村集体工作环境</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有效改善</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有效改善</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28"/>
        <w:gridCol w:w="427"/>
        <w:gridCol w:w="1054"/>
        <w:gridCol w:w="788"/>
        <w:gridCol w:w="1303"/>
        <w:gridCol w:w="669"/>
        <w:gridCol w:w="735"/>
        <w:gridCol w:w="735"/>
        <w:gridCol w:w="161"/>
        <w:gridCol w:w="367"/>
        <w:gridCol w:w="159"/>
        <w:gridCol w:w="588"/>
        <w:gridCol w:w="373"/>
        <w:gridCol w:w="735"/>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8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6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2023年木垒县雀仁乡残疾人两项补贴资金</w:t>
            </w:r>
          </w:p>
        </w:tc>
      </w:tr>
      <w:tr>
        <w:tblPrEx>
          <w:tblLayout w:type="fixed"/>
          <w:tblCellMar>
            <w:top w:w="0" w:type="dxa"/>
            <w:left w:w="108" w:type="dxa"/>
            <w:bottom w:w="0" w:type="dxa"/>
            <w:right w:w="108" w:type="dxa"/>
          </w:tblCellMar>
        </w:tblPrEx>
        <w:trPr>
          <w:trHeight w:val="288" w:hRule="atLeast"/>
          <w:jc w:val="center"/>
        </w:trPr>
        <w:tc>
          <w:tcPr>
            <w:tcW w:w="8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4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2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8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6.16</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6.16</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3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7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1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7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民政部财政部中国残联关于建立困难残疾人生活补贴和重度残疾人护理补贴标准动态调整机制的指导意见》文件要求，计划使用2023年残疾人两项补贴资金为雀仁乡238名残疾人发放残疾人两项补贴，保障残疾人基本生活。</w:t>
            </w:r>
          </w:p>
        </w:tc>
        <w:tc>
          <w:tcPr>
            <w:tcW w:w="3118"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截止本项目完成时限，我单位针对本项目已完成如下工作：为雀仁乡238名残疾人发放第一季度残疾人两项补贴，保障了残疾人基本生活。截至目前共发放6.16万元，后续补贴由民政局进行发放。</w:t>
            </w:r>
          </w:p>
        </w:tc>
      </w:tr>
      <w:tr>
        <w:tblPrEx>
          <w:tblLayout w:type="fixed"/>
          <w:tblCellMar>
            <w:top w:w="0" w:type="dxa"/>
            <w:left w:w="108" w:type="dxa"/>
            <w:bottom w:w="0" w:type="dxa"/>
            <w:right w:w="108" w:type="dxa"/>
          </w:tblCellMar>
        </w:tblPrEx>
        <w:trPr>
          <w:trHeight w:val="312"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6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6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&gt;=238人</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&lt;=110元/人</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613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76"/>
        <w:gridCol w:w="475"/>
        <w:gridCol w:w="1198"/>
        <w:gridCol w:w="413"/>
        <w:gridCol w:w="924"/>
        <w:gridCol w:w="573"/>
        <w:gridCol w:w="1071"/>
        <w:gridCol w:w="965"/>
        <w:gridCol w:w="218"/>
        <w:gridCol w:w="395"/>
        <w:gridCol w:w="258"/>
        <w:gridCol w:w="534"/>
        <w:gridCol w:w="358"/>
        <w:gridCol w:w="664"/>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9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71"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2023年农田地膜科学使用回收项目</w:t>
            </w:r>
          </w:p>
        </w:tc>
      </w:tr>
      <w:tr>
        <w:tblPrEx>
          <w:tblLayout w:type="fixed"/>
          <w:tblCellMar>
            <w:top w:w="0" w:type="dxa"/>
            <w:left w:w="108" w:type="dxa"/>
            <w:bottom w:w="0" w:type="dxa"/>
            <w:right w:w="108" w:type="dxa"/>
          </w:tblCellMar>
        </w:tblPrEx>
        <w:trPr>
          <w:trHeight w:val="288" w:hRule="atLeast"/>
          <w:jc w:val="center"/>
        </w:trPr>
        <w:tc>
          <w:tcPr>
            <w:tcW w:w="9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7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1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0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9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9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15.24</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15.24</w:t>
            </w:r>
          </w:p>
        </w:tc>
        <w:tc>
          <w:tcPr>
            <w:tcW w:w="11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12.24</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80.31%</w:t>
            </w:r>
          </w:p>
        </w:tc>
        <w:tc>
          <w:tcPr>
            <w:tcW w:w="6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5.08</w:t>
            </w:r>
          </w:p>
        </w:tc>
      </w:tr>
      <w:tr>
        <w:tblPrEx>
          <w:tblLayout w:type="fixed"/>
          <w:tblCellMar>
            <w:top w:w="0" w:type="dxa"/>
            <w:left w:w="108" w:type="dxa"/>
            <w:bottom w:w="0" w:type="dxa"/>
            <w:right w:w="108" w:type="dxa"/>
          </w:tblCellMar>
        </w:tblPrEx>
        <w:trPr>
          <w:trHeight w:val="441" w:hRule="atLeast"/>
          <w:jc w:val="center"/>
        </w:trPr>
        <w:tc>
          <w:tcPr>
            <w:tcW w:w="9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15.24</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15.24</w:t>
            </w:r>
          </w:p>
        </w:tc>
        <w:tc>
          <w:tcPr>
            <w:tcW w:w="11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12.24</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9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5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4"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引导农民合理使用地膜，并且规范地膜回收流程，减少资源浪费和环境污染。白杨河乡人民政府计划使用财政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339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用于发放我乡1户农民的加厚地膜农户补助以及乡政府拉运补助。该项目的实施减少了地膜对土壤及环境的污染，提高了农作物的产量和质量，提高了农民的经济收益，进而推动了农业绿色发展。</w:t>
            </w:r>
          </w:p>
        </w:tc>
      </w:tr>
      <w:tr>
        <w:tblPrEx>
          <w:tblLayout w:type="fixed"/>
          <w:tblCellMar>
            <w:top w:w="0" w:type="dxa"/>
            <w:left w:w="108" w:type="dxa"/>
            <w:bottom w:w="0" w:type="dxa"/>
            <w:right w:w="108" w:type="dxa"/>
          </w:tblCellMar>
        </w:tblPrEx>
        <w:trPr>
          <w:trHeight w:val="312" w:hRule="atLeast"/>
          <w:jc w:val="center"/>
        </w:trPr>
        <w:tc>
          <w:tcPr>
            <w:tcW w:w="4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1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1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7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2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=9户</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=9户</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=20100亩</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=20100亩</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农户回收地膜重量</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&gt;=245.96吨</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=245.96吨</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2023年11月13日</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=2023年11月13日</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&lt;=28.50元</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&lt;=125元</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=125元</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减少地膜对环境的污染</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609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95.08分</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8"/>
        <w:gridCol w:w="520"/>
        <w:gridCol w:w="1257"/>
        <w:gridCol w:w="387"/>
        <w:gridCol w:w="924"/>
        <w:gridCol w:w="573"/>
        <w:gridCol w:w="924"/>
        <w:gridCol w:w="814"/>
        <w:gridCol w:w="266"/>
        <w:gridCol w:w="422"/>
        <w:gridCol w:w="305"/>
        <w:gridCol w:w="711"/>
        <w:gridCol w:w="209"/>
        <w:gridCol w:w="692"/>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4"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2023年中央补助地方美术馆、公共图书馆、文化馆（站）免费开放专项资金</w:t>
            </w:r>
          </w:p>
        </w:tc>
      </w:tr>
      <w:tr>
        <w:tblPrEx>
          <w:tblLayout w:type="fixed"/>
          <w:tblCellMar>
            <w:top w:w="0" w:type="dxa"/>
            <w:left w:w="108" w:type="dxa"/>
            <w:bottom w:w="0" w:type="dxa"/>
            <w:right w:w="108" w:type="dxa"/>
          </w:tblCellMar>
        </w:tblPrEx>
        <w:trPr>
          <w:trHeight w:val="288" w:hRule="atLeast"/>
          <w:jc w:val="center"/>
        </w:trPr>
        <w:tc>
          <w:tcPr>
            <w:tcW w:w="10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6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3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10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89.43%</w:t>
            </w:r>
          </w:p>
        </w:tc>
        <w:tc>
          <w:tcPr>
            <w:tcW w:w="6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7.36</w:t>
            </w:r>
          </w:p>
        </w:tc>
      </w:tr>
      <w:tr>
        <w:tblPrEx>
          <w:tblLayout w:type="fixed"/>
          <w:tblCellMar>
            <w:top w:w="0" w:type="dxa"/>
            <w:left w:w="108" w:type="dxa"/>
            <w:bottom w:w="0" w:type="dxa"/>
            <w:right w:w="108" w:type="dxa"/>
          </w:tblCellMar>
        </w:tblPrEx>
        <w:trPr>
          <w:trHeight w:val="441" w:hRule="atLeast"/>
          <w:jc w:val="center"/>
        </w:trPr>
        <w:tc>
          <w:tcPr>
            <w:tcW w:w="10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8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1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85"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贯彻落实中央、自治区党委关于“三馆一站”免费开放，丰富人民群众的精神文化生活”的要求，充分发挥“三馆一站”在提高公民鉴赏能力、提高各族群众思想道德和科学文化素质的作用，保障各族群众基本权益，促进社会和谐稳定。保障雀仁乡免费开放文化站日常运转所需经费。及时支付2023年中央补助地方图书馆、文化馆及乡镇文化站免费开放专项资金3.5万元</w:t>
            </w:r>
          </w:p>
        </w:tc>
        <w:tc>
          <w:tcPr>
            <w:tcW w:w="3419"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正常举办活动2次，活动参与人数达到300人，免费开放乡镇文化站1个。提高了各族群众思想道德和科学文化素质的作用，保障了各族群众基本权益，促进社会和谐稳定</w:t>
            </w:r>
          </w:p>
        </w:tc>
      </w:tr>
      <w:tr>
        <w:tblPrEx>
          <w:tblLayout w:type="fixed"/>
          <w:tblCellMar>
            <w:top w:w="0" w:type="dxa"/>
            <w:left w:w="108" w:type="dxa"/>
            <w:bottom w:w="0" w:type="dxa"/>
            <w:right w:w="108" w:type="dxa"/>
          </w:tblCellMar>
        </w:tblPrEx>
        <w:trPr>
          <w:trHeight w:val="312"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8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收益农牧民人数</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9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97.36分</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5"/>
        <w:gridCol w:w="515"/>
        <w:gridCol w:w="1118"/>
        <w:gridCol w:w="521"/>
        <w:gridCol w:w="924"/>
        <w:gridCol w:w="573"/>
        <w:gridCol w:w="832"/>
        <w:gridCol w:w="810"/>
        <w:gridCol w:w="261"/>
        <w:gridCol w:w="419"/>
        <w:gridCol w:w="273"/>
        <w:gridCol w:w="572"/>
        <w:gridCol w:w="413"/>
        <w:gridCol w:w="776"/>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2"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昌州财农【2022】58号-2023年中央农业生产发展资金（农机购置补贴）</w:t>
            </w:r>
          </w:p>
        </w:tc>
      </w:tr>
      <w:tr>
        <w:tblPrEx>
          <w:tblLayout w:type="fixed"/>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83"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为2022年新购买农机具的农户发放补贴。</w:t>
            </w:r>
          </w:p>
        </w:tc>
        <w:tc>
          <w:tcPr>
            <w:tcW w:w="352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截止本项目完成时限，我单位针对本项目已完成如下工作：为2户农民发放农机购置补贴，共计4.34万元。提高了农作物机械化水平。</w:t>
            </w:r>
          </w:p>
        </w:tc>
      </w:tr>
      <w:tr>
        <w:tblPrEx>
          <w:tblLayout w:type="fixed"/>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1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受益农户数</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&gt;=2户</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=2户</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补贴发放准确率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农作物机械化水平</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0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28"/>
        <w:gridCol w:w="427"/>
        <w:gridCol w:w="1149"/>
        <w:gridCol w:w="811"/>
        <w:gridCol w:w="1396"/>
        <w:gridCol w:w="644"/>
        <w:gridCol w:w="735"/>
        <w:gridCol w:w="735"/>
        <w:gridCol w:w="159"/>
        <w:gridCol w:w="371"/>
        <w:gridCol w:w="197"/>
        <w:gridCol w:w="534"/>
        <w:gridCol w:w="304"/>
        <w:gridCol w:w="632"/>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8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67"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基层财政运转补助经费</w:t>
            </w:r>
          </w:p>
        </w:tc>
      </w:tr>
      <w:tr>
        <w:tblPrEx>
          <w:tblLayout w:type="fixed"/>
          <w:tblCellMar>
            <w:top w:w="0" w:type="dxa"/>
            <w:left w:w="108" w:type="dxa"/>
            <w:bottom w:w="0" w:type="dxa"/>
            <w:right w:w="108" w:type="dxa"/>
          </w:tblCellMar>
        </w:tblPrEx>
        <w:trPr>
          <w:trHeight w:val="288" w:hRule="atLeast"/>
          <w:jc w:val="center"/>
        </w:trPr>
        <w:tc>
          <w:tcPr>
            <w:tcW w:w="8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73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8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3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8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16.81</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84.05%</w:t>
            </w:r>
          </w:p>
        </w:tc>
        <w:tc>
          <w:tcPr>
            <w:tcW w:w="6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6.01</w:t>
            </w:r>
          </w:p>
        </w:tc>
      </w:tr>
      <w:tr>
        <w:tblPrEx>
          <w:tblLayout w:type="fixed"/>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16.81</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85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3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6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3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2"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昌州财预（2022）102号文件精神，使用该笔资金，保障我乡各项工作正常运转，助力基层政府充分履职，该笔资金主要用于采购办公桌椅、维修及粉刷办公楼、制作办公室科室牌等及其他各项工作产生的刚性支出。</w:t>
            </w:r>
          </w:p>
        </w:tc>
        <w:tc>
          <w:tcPr>
            <w:tcW w:w="293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已使用该笔资金主要用于采购办公桌椅、维修及粉刷办公楼、制作办公室科室牌、劳务费等及其他各项工作。保障了我乡各项工作正常运转，助力了基层政府充分履职。</w:t>
            </w:r>
          </w:p>
        </w:tc>
      </w:tr>
      <w:tr>
        <w:tblPrEx>
          <w:tblLayout w:type="fixed"/>
          <w:tblCellMar>
            <w:top w:w="0" w:type="dxa"/>
            <w:left w:w="108" w:type="dxa"/>
            <w:bottom w:w="0" w:type="dxa"/>
            <w:right w:w="108" w:type="dxa"/>
          </w:tblCellMar>
        </w:tblPrEx>
        <w:trPr>
          <w:trHeight w:val="312"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5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85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3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采购办公桌椅数量</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&gt;=30个</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=30个</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维修及粉刷办公楼次数</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制作办公室科室牌数量</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&gt;=20个</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=20个</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采购办公桌椅及维修办公楼验收合格率</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上级安排工作完成率</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设备采购完成时间</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2023年3月31日</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=2023年3月31日</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采购办公桌椅预算控制数</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&lt;=8万元</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=8万元</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办公楼维修及粉刷预算控制数</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持续推动乡镇业务科学化</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保障我乡工作正常开展</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有效保障</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有效保障</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5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632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96.01分</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04"/>
        <w:gridCol w:w="504"/>
        <w:gridCol w:w="1317"/>
        <w:gridCol w:w="314"/>
        <w:gridCol w:w="924"/>
        <w:gridCol w:w="573"/>
        <w:gridCol w:w="910"/>
        <w:gridCol w:w="802"/>
        <w:gridCol w:w="249"/>
        <w:gridCol w:w="413"/>
        <w:gridCol w:w="262"/>
        <w:gridCol w:w="572"/>
        <w:gridCol w:w="407"/>
        <w:gridCol w:w="771"/>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4"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木垒县雀仁乡2021-2022年“厕所革命”奖补资金</w:t>
            </w:r>
          </w:p>
        </w:tc>
      </w:tr>
      <w:tr>
        <w:tblPrEx>
          <w:tblLayout w:type="fixed"/>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10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18.26</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7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2"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的通知》文件要求，计划使用18.26万元修建95座厕所，项目实施后，厕所革命的推进可使农村人居环境得到改善，加强农民环保意识。</w:t>
            </w:r>
          </w:p>
        </w:tc>
        <w:tc>
          <w:tcPr>
            <w:tcW w:w="3476"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于2023年四月支付18.26万元（本项目为发放2021-2022年厕所革命奖补资金），修建厕所数95个，项目实施后，厕所革命的推进使农村人居环境得到了改善，加强了农民环保意识。</w:t>
            </w:r>
          </w:p>
        </w:tc>
      </w:tr>
      <w:tr>
        <w:tblPrEx>
          <w:tblLayout w:type="fixed"/>
          <w:tblCellMar>
            <w:top w:w="0" w:type="dxa"/>
            <w:left w:w="108" w:type="dxa"/>
            <w:bottom w:w="0" w:type="dxa"/>
            <w:right w:w="108" w:type="dxa"/>
          </w:tblCellMar>
        </w:tblPrEx>
        <w:trPr>
          <w:trHeight w:val="312"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1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2021年修建厕所数</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&gt;=72个</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2022年修建厕所数</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&gt;=23个</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&lt;=600元/户</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=600元/户</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&lt;=322元/户</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=322元/户</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收益居民人数</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1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68"/>
        <w:gridCol w:w="470"/>
        <w:gridCol w:w="1096"/>
        <w:gridCol w:w="511"/>
        <w:gridCol w:w="924"/>
        <w:gridCol w:w="573"/>
        <w:gridCol w:w="1068"/>
        <w:gridCol w:w="867"/>
        <w:gridCol w:w="212"/>
        <w:gridCol w:w="391"/>
        <w:gridCol w:w="224"/>
        <w:gridCol w:w="572"/>
        <w:gridCol w:w="390"/>
        <w:gridCol w:w="756"/>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4"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木垒县雀仁乡2023年人居环境整治项目</w:t>
            </w:r>
          </w:p>
        </w:tc>
      </w:tr>
      <w:tr>
        <w:tblPrEx>
          <w:tblLayout w:type="fixed"/>
          <w:tblCellMar>
            <w:top w:w="0" w:type="dxa"/>
            <w:left w:w="108" w:type="dxa"/>
            <w:bottom w:w="0" w:type="dxa"/>
            <w:right w:w="108" w:type="dxa"/>
          </w:tblCellMar>
        </w:tblPrEx>
        <w:trPr>
          <w:trHeight w:val="288" w:hRule="atLeast"/>
          <w:jc w:val="center"/>
        </w:trPr>
        <w:tc>
          <w:tcPr>
            <w:tcW w:w="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7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3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9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6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320.00</w:t>
            </w:r>
          </w:p>
        </w:tc>
        <w:tc>
          <w:tcPr>
            <w:tcW w:w="6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4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1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42"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吉州乡村振兴局关于木垒县2023年州财政新衔接推进乡村振兴补助资金相关情况的说明，木垒县雀仁乡人民政府计划在五棵树村实施人居环境整治项目，主要建设内容为：1片区道路硬化13000平方米，正格勒得村农牧民实训基地主电路改造4685米及其他附属设施建设等，项目实施后，可改善当地村民生活环境，保障村民正常用电.</w:t>
            </w:r>
          </w:p>
        </w:tc>
        <w:tc>
          <w:tcPr>
            <w:tcW w:w="341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道路硬化13000平方米，正格勒得村农牧民实训基地主电路改造4685米及其他附属设施建设等，项目实施后，改善了当地村民生活环境，保障了村民正常用电。</w:t>
            </w:r>
          </w:p>
        </w:tc>
      </w:tr>
      <w:tr>
        <w:tblPrEx>
          <w:tblLayout w:type="fixed"/>
          <w:tblCellMar>
            <w:top w:w="0" w:type="dxa"/>
            <w:left w:w="108" w:type="dxa"/>
            <w:bottom w:w="0" w:type="dxa"/>
            <w:right w:w="108" w:type="dxa"/>
          </w:tblCellMar>
        </w:tblPrEx>
        <w:trPr>
          <w:trHeight w:val="312" w:hRule="atLeast"/>
          <w:jc w:val="center"/>
        </w:trPr>
        <w:tc>
          <w:tcPr>
            <w:tcW w:w="4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0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0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道路硬化面积</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&gt;=13000平方米</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=13000平方米</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主电路改造长度</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&gt;=4685米</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=4685米</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&lt;=3个月</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=3个月</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工程费</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&lt;=290.60万元</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=290.6万元</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其他用费</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&lt;=19.20万元</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=19.2万元</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预备费</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&lt;=10.20万元</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=10.2万元</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村民用电保障率</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&gt;=807人</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=807人</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环境改善率</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106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97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30"/>
        <w:gridCol w:w="530"/>
        <w:gridCol w:w="1316"/>
        <w:gridCol w:w="335"/>
        <w:gridCol w:w="924"/>
        <w:gridCol w:w="573"/>
        <w:gridCol w:w="848"/>
        <w:gridCol w:w="822"/>
        <w:gridCol w:w="277"/>
        <w:gridCol w:w="428"/>
        <w:gridCol w:w="315"/>
        <w:gridCol w:w="723"/>
        <w:gridCol w:w="203"/>
        <w:gridCol w:w="698"/>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2"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木垒县雀仁乡2023年药浴池建设项目</w:t>
            </w:r>
          </w:p>
        </w:tc>
      </w:tr>
      <w:tr>
        <w:tblPrEx>
          <w:tblLayout w:type="fixed"/>
          <w:tblCellMar>
            <w:top w:w="0" w:type="dxa"/>
            <w:left w:w="108" w:type="dxa"/>
            <w:bottom w:w="0" w:type="dxa"/>
            <w:right w:w="108" w:type="dxa"/>
          </w:tblCellMar>
        </w:tblPrEx>
        <w:trPr>
          <w:trHeight w:val="288" w:hRule="atLeast"/>
          <w:jc w:val="center"/>
        </w:trPr>
        <w:tc>
          <w:tcPr>
            <w:tcW w:w="10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9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10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75.00%</w:t>
            </w:r>
          </w:p>
        </w:tc>
        <w:tc>
          <w:tcPr>
            <w:tcW w:w="6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3.75</w:t>
            </w:r>
          </w:p>
        </w:tc>
      </w:tr>
      <w:tr>
        <w:tblPrEx>
          <w:tblLayout w:type="fixed"/>
          <w:tblCellMar>
            <w:top w:w="0" w:type="dxa"/>
            <w:left w:w="108" w:type="dxa"/>
            <w:bottom w:w="0" w:type="dxa"/>
            <w:right w:w="108" w:type="dxa"/>
          </w:tblCellMar>
        </w:tblPrEx>
        <w:trPr>
          <w:trHeight w:val="441" w:hRule="atLeast"/>
          <w:jc w:val="center"/>
        </w:trPr>
        <w:tc>
          <w:tcPr>
            <w:tcW w:w="10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9.75</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6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2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昌州财农（2023）13号文件，该项目用于修建雀仁村药浴池建设项目，主要内容为：新建待洗浴有效解决牧民养殖的羊只及时进行药浴，预防畜病发生。主要内容为：新建待浴栏，药浴池，反流滴水栏。项目建成后，有效解决牧民养殖的羊只及时进行药浴，预防畜病发生。</w:t>
            </w:r>
          </w:p>
        </w:tc>
        <w:tc>
          <w:tcPr>
            <w:tcW w:w="3466"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该资金用于修建雀仁村药浴池建设项目，新建待浴栏面积38平方米，新建药浴池面积12立方米，新建反流滴水栏面积18平方米。项目建成后，解决了牧民养殖的羊只及时进行药浴，预防了畜病发生。截至目前资金已发放9.75万元。本项目尚未验收，待项目验收后进行尾款的拨付。</w:t>
            </w:r>
          </w:p>
        </w:tc>
      </w:tr>
      <w:tr>
        <w:tblPrEx>
          <w:tblLayout w:type="fixed"/>
          <w:tblCellMar>
            <w:top w:w="0" w:type="dxa"/>
            <w:left w:w="108" w:type="dxa"/>
            <w:bottom w:w="0" w:type="dxa"/>
            <w:right w:w="108" w:type="dxa"/>
          </w:tblCellMar>
        </w:tblPrEx>
        <w:trPr>
          <w:trHeight w:val="312" w:hRule="atLeast"/>
          <w:jc w:val="center"/>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3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2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3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新建待浴栏面积</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&gt;=38平方米</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=38平方米</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新建药浴池面积</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&gt;=12立方米</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=12立方米</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新建反流滴水栏面积</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&gt;=18平方米</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=18平方米</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项目完成时间</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2023年9月30日</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=2023年9月30日</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新建待浴栏成本</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&lt;=3万元</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=3万元</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新建药浴池成本</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&lt;=7万元</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=7万元</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新建反流滴水栏成本</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&lt;=3万元</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=3万元</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可一次性容纳牲畜数量</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&gt;=350只</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=350只</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3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3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8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7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93.75分</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432"/>
        <w:gridCol w:w="1284"/>
        <w:gridCol w:w="454"/>
        <w:gridCol w:w="1345"/>
        <w:gridCol w:w="592"/>
        <w:gridCol w:w="843"/>
        <w:gridCol w:w="739"/>
        <w:gridCol w:w="166"/>
        <w:gridCol w:w="374"/>
        <w:gridCol w:w="180"/>
        <w:gridCol w:w="563"/>
        <w:gridCol w:w="380"/>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57"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木垒县雀仁乡人民政府2023年为民办实事生活补助项目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1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9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6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65" w:type="dxa"/>
            <w:gridSpan w:val="2"/>
            <w:vMerge w:val="continue"/>
            <w:vAlign w:val="center"/>
          </w:tcPr>
          <w:p>
            <w:pPr>
              <w:widowControl/>
              <w:jc w:val="left"/>
              <w:rPr>
                <w:rFonts w:hint="eastAsia" w:ascii="宋体" w:hAnsi="宋体" w:cs="宋体"/>
                <w:color w:val="000000"/>
                <w:kern w:val="0"/>
                <w:sz w:val="20"/>
                <w:szCs w:val="20"/>
              </w:rPr>
            </w:pPr>
          </w:p>
        </w:tc>
        <w:tc>
          <w:tcPr>
            <w:tcW w:w="1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14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9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65" w:type="dxa"/>
            <w:gridSpan w:val="2"/>
            <w:vMerge w:val="continue"/>
            <w:vAlign w:val="center"/>
          </w:tcPr>
          <w:p>
            <w:pPr>
              <w:widowControl/>
              <w:jc w:val="left"/>
              <w:rPr>
                <w:rFonts w:hint="eastAsia" w:ascii="宋体" w:hAnsi="宋体" w:cs="宋体"/>
                <w:color w:val="000000"/>
                <w:kern w:val="0"/>
                <w:sz w:val="20"/>
                <w:szCs w:val="20"/>
              </w:rPr>
            </w:pPr>
          </w:p>
        </w:tc>
        <w:tc>
          <w:tcPr>
            <w:tcW w:w="1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14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9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w:t>
            </w:r>
          </w:p>
        </w:tc>
        <w:tc>
          <w:tcPr>
            <w:tcW w:w="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65" w:type="dxa"/>
            <w:gridSpan w:val="2"/>
            <w:vMerge w:val="continue"/>
            <w:vAlign w:val="center"/>
          </w:tcPr>
          <w:p>
            <w:pPr>
              <w:widowControl/>
              <w:jc w:val="left"/>
              <w:rPr>
                <w:rFonts w:hint="eastAsia" w:ascii="宋体" w:hAnsi="宋体" w:cs="宋体"/>
                <w:color w:val="000000"/>
                <w:kern w:val="0"/>
                <w:sz w:val="20"/>
                <w:szCs w:val="20"/>
              </w:rPr>
            </w:pPr>
          </w:p>
        </w:tc>
        <w:tc>
          <w:tcPr>
            <w:tcW w:w="1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4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5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3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33" w:type="dxa"/>
            <w:vMerge w:val="continue"/>
            <w:vAlign w:val="center"/>
          </w:tcPr>
          <w:p>
            <w:pPr>
              <w:widowControl/>
              <w:jc w:val="left"/>
              <w:rPr>
                <w:rFonts w:hint="eastAsia" w:ascii="宋体" w:hAnsi="宋体" w:cs="宋体"/>
                <w:color w:val="000000"/>
                <w:kern w:val="0"/>
                <w:sz w:val="20"/>
                <w:szCs w:val="20"/>
              </w:rPr>
            </w:pPr>
          </w:p>
        </w:tc>
        <w:tc>
          <w:tcPr>
            <w:tcW w:w="4950"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根据昌州财预字（2023）16号文件精神，巴合达力同志享受到村任职国家公务员参照“为民办实事、办好事”驻村工作队相关待遇，现追加该同志2023“为民办实事、办好事工作补贴”3.6360万元</w:t>
            </w:r>
          </w:p>
        </w:tc>
        <w:tc>
          <w:tcPr>
            <w:tcW w:w="3139"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已发放巴合达力同志2023“为民办实事、办好事工作补贴”3.63万元，使巴合达力同志享受到了村任职国家公务员参照“为民办实事、办好事”驻村工作队相关待遇。</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91"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33" w:type="dxa"/>
            <w:vMerge w:val="continue"/>
            <w:vAlign w:val="center"/>
          </w:tcPr>
          <w:p>
            <w:pPr>
              <w:widowControl/>
              <w:jc w:val="left"/>
              <w:rPr>
                <w:rFonts w:hint="eastAsia" w:ascii="宋体" w:hAnsi="宋体" w:cs="宋体"/>
                <w:color w:val="000000"/>
                <w:kern w:val="0"/>
                <w:sz w:val="20"/>
                <w:szCs w:val="20"/>
              </w:rPr>
            </w:pPr>
          </w:p>
        </w:tc>
        <w:tc>
          <w:tcPr>
            <w:tcW w:w="432" w:type="dxa"/>
            <w:vMerge w:val="continue"/>
            <w:vAlign w:val="center"/>
          </w:tcPr>
          <w:p>
            <w:pPr>
              <w:widowControl/>
              <w:jc w:val="left"/>
              <w:rPr>
                <w:rFonts w:hint="eastAsia" w:ascii="宋体" w:hAnsi="宋体" w:cs="宋体"/>
                <w:color w:val="000000"/>
                <w:kern w:val="0"/>
                <w:sz w:val="20"/>
                <w:szCs w:val="20"/>
              </w:rPr>
            </w:pPr>
          </w:p>
        </w:tc>
        <w:tc>
          <w:tcPr>
            <w:tcW w:w="1284" w:type="dxa"/>
            <w:vMerge w:val="continue"/>
            <w:vAlign w:val="center"/>
          </w:tcPr>
          <w:p>
            <w:pPr>
              <w:widowControl/>
              <w:jc w:val="left"/>
              <w:rPr>
                <w:rFonts w:hint="eastAsia" w:ascii="宋体" w:hAnsi="宋体" w:cs="宋体"/>
                <w:color w:val="000000"/>
                <w:kern w:val="0"/>
                <w:sz w:val="20"/>
                <w:szCs w:val="20"/>
              </w:rPr>
            </w:pPr>
          </w:p>
        </w:tc>
        <w:tc>
          <w:tcPr>
            <w:tcW w:w="2391" w:type="dxa"/>
            <w:gridSpan w:val="3"/>
            <w:vMerge w:val="continue"/>
            <w:vAlign w:val="center"/>
          </w:tcPr>
          <w:p>
            <w:pPr>
              <w:widowControl/>
              <w:jc w:val="left"/>
              <w:rPr>
                <w:rFonts w:hint="eastAsia" w:ascii="宋体" w:hAnsi="宋体" w:cs="宋体"/>
                <w:color w:val="000000"/>
                <w:kern w:val="0"/>
                <w:sz w:val="20"/>
                <w:szCs w:val="20"/>
              </w:rPr>
            </w:pPr>
          </w:p>
        </w:tc>
        <w:tc>
          <w:tcPr>
            <w:tcW w:w="843" w:type="dxa"/>
            <w:vMerge w:val="continue"/>
            <w:vAlign w:val="center"/>
          </w:tcPr>
          <w:p>
            <w:pPr>
              <w:widowControl/>
              <w:jc w:val="left"/>
              <w:rPr>
                <w:rFonts w:hint="eastAsia" w:ascii="宋体" w:hAnsi="宋体" w:cs="宋体"/>
                <w:color w:val="000000"/>
                <w:kern w:val="0"/>
                <w:sz w:val="20"/>
                <w:szCs w:val="20"/>
              </w:rPr>
            </w:pPr>
          </w:p>
        </w:tc>
        <w:tc>
          <w:tcPr>
            <w:tcW w:w="739" w:type="dxa"/>
            <w:vMerge w:val="continue"/>
            <w:vAlign w:val="center"/>
          </w:tcPr>
          <w:p>
            <w:pPr>
              <w:widowControl/>
              <w:jc w:val="left"/>
              <w:rPr>
                <w:rFonts w:hint="eastAsia" w:ascii="宋体" w:hAnsi="宋体" w:cs="宋体"/>
                <w:color w:val="000000"/>
                <w:kern w:val="0"/>
                <w:sz w:val="20"/>
                <w:szCs w:val="20"/>
              </w:rPr>
            </w:pPr>
          </w:p>
        </w:tc>
        <w:tc>
          <w:tcPr>
            <w:tcW w:w="540" w:type="dxa"/>
            <w:gridSpan w:val="2"/>
            <w:vMerge w:val="continue"/>
            <w:vAlign w:val="center"/>
          </w:tcPr>
          <w:p>
            <w:pPr>
              <w:widowControl/>
              <w:jc w:val="left"/>
              <w:rPr>
                <w:rFonts w:hint="eastAsia" w:ascii="宋体" w:hAnsi="宋体" w:cs="宋体"/>
                <w:color w:val="000000"/>
                <w:kern w:val="0"/>
                <w:sz w:val="20"/>
                <w:szCs w:val="20"/>
              </w:rPr>
            </w:pPr>
          </w:p>
        </w:tc>
        <w:tc>
          <w:tcPr>
            <w:tcW w:w="743" w:type="dxa"/>
            <w:gridSpan w:val="2"/>
            <w:vMerge w:val="continue"/>
            <w:vAlign w:val="center"/>
          </w:tcPr>
          <w:p>
            <w:pPr>
              <w:widowControl/>
              <w:jc w:val="left"/>
              <w:rPr>
                <w:rFonts w:hint="eastAsia" w:ascii="宋体" w:hAnsi="宋体" w:cs="宋体"/>
                <w:color w:val="000000"/>
                <w:kern w:val="0"/>
                <w:sz w:val="20"/>
                <w:szCs w:val="20"/>
              </w:rPr>
            </w:pPr>
          </w:p>
        </w:tc>
        <w:tc>
          <w:tcPr>
            <w:tcW w:w="1117"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9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发放补贴人数</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33" w:type="dxa"/>
            <w:vMerge w:val="continue"/>
            <w:vAlign w:val="center"/>
          </w:tcPr>
          <w:p>
            <w:pPr>
              <w:widowControl/>
              <w:jc w:val="left"/>
              <w:rPr>
                <w:rFonts w:hint="eastAsia" w:ascii="宋体" w:hAnsi="宋体" w:cs="宋体"/>
                <w:color w:val="000000"/>
                <w:kern w:val="0"/>
                <w:sz w:val="20"/>
                <w:szCs w:val="20"/>
              </w:rPr>
            </w:pPr>
          </w:p>
        </w:tc>
        <w:tc>
          <w:tcPr>
            <w:tcW w:w="432" w:type="dxa"/>
            <w:vMerge w:val="continue"/>
            <w:vAlign w:val="center"/>
          </w:tcPr>
          <w:p>
            <w:pPr>
              <w:widowControl/>
              <w:jc w:val="left"/>
              <w:rPr>
                <w:rFonts w:hint="eastAsia" w:ascii="宋体" w:hAnsi="宋体" w:cs="宋体"/>
                <w:color w:val="000000"/>
                <w:kern w:val="0"/>
                <w:sz w:val="20"/>
                <w:szCs w:val="20"/>
              </w:rPr>
            </w:pP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9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补贴资金发放率</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33" w:type="dxa"/>
            <w:vMerge w:val="continue"/>
            <w:vAlign w:val="center"/>
          </w:tcPr>
          <w:p>
            <w:pPr>
              <w:widowControl/>
              <w:jc w:val="left"/>
              <w:rPr>
                <w:rFonts w:hint="eastAsia" w:ascii="宋体" w:hAnsi="宋体" w:cs="宋体"/>
                <w:color w:val="000000"/>
                <w:kern w:val="0"/>
                <w:sz w:val="20"/>
                <w:szCs w:val="20"/>
              </w:rPr>
            </w:pPr>
          </w:p>
        </w:tc>
        <w:tc>
          <w:tcPr>
            <w:tcW w:w="432" w:type="dxa"/>
            <w:vMerge w:val="continue"/>
            <w:vAlign w:val="center"/>
          </w:tcPr>
          <w:p>
            <w:pPr>
              <w:widowControl/>
              <w:jc w:val="left"/>
              <w:rPr>
                <w:rFonts w:hint="eastAsia" w:ascii="宋体" w:hAnsi="宋体" w:cs="宋体"/>
                <w:color w:val="000000"/>
                <w:kern w:val="0"/>
                <w:sz w:val="20"/>
                <w:szCs w:val="20"/>
              </w:rPr>
            </w:pP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9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“为民办实事、办好事”生活补贴发放及时率</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33" w:type="dxa"/>
            <w:vMerge w:val="continue"/>
            <w:vAlign w:val="center"/>
          </w:tcPr>
          <w:p>
            <w:pPr>
              <w:widowControl/>
              <w:jc w:val="left"/>
              <w:rPr>
                <w:rFonts w:hint="eastAsia" w:ascii="宋体" w:hAnsi="宋体" w:cs="宋体"/>
                <w:color w:val="000000"/>
                <w:kern w:val="0"/>
                <w:sz w:val="20"/>
                <w:szCs w:val="20"/>
              </w:rPr>
            </w:pPr>
          </w:p>
        </w:tc>
        <w:tc>
          <w:tcPr>
            <w:tcW w:w="4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9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“为民办实事、办好事”生活补贴每月发放成本</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&lt;=3030元/月</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=3030元/月</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33" w:type="dxa"/>
            <w:vMerge w:val="continue"/>
            <w:vAlign w:val="center"/>
          </w:tcPr>
          <w:p>
            <w:pPr>
              <w:widowControl/>
              <w:jc w:val="left"/>
              <w:rPr>
                <w:rFonts w:hint="eastAsia" w:ascii="宋体" w:hAnsi="宋体" w:cs="宋体"/>
                <w:color w:val="000000"/>
                <w:kern w:val="0"/>
                <w:sz w:val="20"/>
                <w:szCs w:val="20"/>
              </w:rPr>
            </w:pPr>
          </w:p>
        </w:tc>
        <w:tc>
          <w:tcPr>
            <w:tcW w:w="432" w:type="dxa"/>
            <w:vMerge w:val="continue"/>
            <w:vAlign w:val="center"/>
          </w:tcPr>
          <w:p>
            <w:pPr>
              <w:widowControl/>
              <w:jc w:val="left"/>
              <w:rPr>
                <w:rFonts w:hint="eastAsia" w:ascii="宋体" w:hAnsi="宋体" w:cs="宋体"/>
                <w:color w:val="000000"/>
                <w:kern w:val="0"/>
                <w:sz w:val="20"/>
                <w:szCs w:val="20"/>
              </w:rPr>
            </w:pP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9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33" w:type="dxa"/>
            <w:vMerge w:val="continue"/>
            <w:vAlign w:val="center"/>
          </w:tcPr>
          <w:p>
            <w:pPr>
              <w:widowControl/>
              <w:jc w:val="left"/>
              <w:rPr>
                <w:rFonts w:hint="eastAsia" w:ascii="宋体" w:hAnsi="宋体" w:cs="宋体"/>
                <w:color w:val="000000"/>
                <w:kern w:val="0"/>
                <w:sz w:val="20"/>
                <w:szCs w:val="20"/>
              </w:rPr>
            </w:pPr>
          </w:p>
        </w:tc>
        <w:tc>
          <w:tcPr>
            <w:tcW w:w="432" w:type="dxa"/>
            <w:vMerge w:val="continue"/>
            <w:vAlign w:val="center"/>
          </w:tcPr>
          <w:p>
            <w:pPr>
              <w:widowControl/>
              <w:jc w:val="left"/>
              <w:rPr>
                <w:rFonts w:hint="eastAsia" w:ascii="宋体" w:hAnsi="宋体" w:cs="宋体"/>
                <w:color w:val="000000"/>
                <w:kern w:val="0"/>
                <w:sz w:val="20"/>
                <w:szCs w:val="20"/>
              </w:rPr>
            </w:pP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9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33" w:type="dxa"/>
            <w:vMerge w:val="continue"/>
            <w:vAlign w:val="center"/>
          </w:tcPr>
          <w:p>
            <w:pPr>
              <w:widowControl/>
              <w:jc w:val="left"/>
              <w:rPr>
                <w:rFonts w:hint="eastAsia" w:ascii="宋体" w:hAnsi="宋体" w:cs="宋体"/>
                <w:color w:val="000000"/>
                <w:kern w:val="0"/>
                <w:sz w:val="20"/>
                <w:szCs w:val="20"/>
              </w:rPr>
            </w:pPr>
          </w:p>
        </w:tc>
        <w:tc>
          <w:tcPr>
            <w:tcW w:w="4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9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33" w:type="dxa"/>
            <w:vMerge w:val="continue"/>
            <w:vAlign w:val="center"/>
          </w:tcPr>
          <w:p>
            <w:pPr>
              <w:widowControl/>
              <w:jc w:val="left"/>
              <w:rPr>
                <w:rFonts w:hint="eastAsia" w:ascii="宋体" w:hAnsi="宋体" w:cs="宋体"/>
                <w:color w:val="000000"/>
                <w:kern w:val="0"/>
                <w:sz w:val="20"/>
                <w:szCs w:val="20"/>
              </w:rPr>
            </w:pPr>
          </w:p>
        </w:tc>
        <w:tc>
          <w:tcPr>
            <w:tcW w:w="432" w:type="dxa"/>
            <w:vMerge w:val="continue"/>
            <w:vAlign w:val="center"/>
          </w:tcPr>
          <w:p>
            <w:pPr>
              <w:widowControl/>
              <w:jc w:val="left"/>
              <w:rPr>
                <w:rFonts w:hint="eastAsia" w:ascii="宋体" w:hAnsi="宋体" w:cs="宋体"/>
                <w:color w:val="000000"/>
                <w:kern w:val="0"/>
                <w:sz w:val="20"/>
                <w:szCs w:val="20"/>
              </w:rPr>
            </w:pP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9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保障为民办实事、办好事工作队员生活水平</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有效保障</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有效保障</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33" w:type="dxa"/>
            <w:vMerge w:val="continue"/>
            <w:vAlign w:val="center"/>
          </w:tcPr>
          <w:p>
            <w:pPr>
              <w:widowControl/>
              <w:jc w:val="left"/>
              <w:rPr>
                <w:rFonts w:hint="eastAsia" w:ascii="宋体" w:hAnsi="宋体" w:cs="宋体"/>
                <w:color w:val="000000"/>
                <w:kern w:val="0"/>
                <w:sz w:val="20"/>
                <w:szCs w:val="20"/>
              </w:rPr>
            </w:pPr>
          </w:p>
        </w:tc>
        <w:tc>
          <w:tcPr>
            <w:tcW w:w="432" w:type="dxa"/>
            <w:vMerge w:val="continue"/>
            <w:vAlign w:val="center"/>
          </w:tcPr>
          <w:p>
            <w:pPr>
              <w:widowControl/>
              <w:jc w:val="left"/>
              <w:rPr>
                <w:rFonts w:hint="eastAsia" w:ascii="宋体" w:hAnsi="宋体" w:cs="宋体"/>
                <w:color w:val="000000"/>
                <w:kern w:val="0"/>
                <w:sz w:val="20"/>
                <w:szCs w:val="20"/>
              </w:rPr>
            </w:pP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9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33" w:type="dxa"/>
            <w:vMerge w:val="continue"/>
            <w:vAlign w:val="center"/>
          </w:tcPr>
          <w:p>
            <w:pPr>
              <w:widowControl/>
              <w:jc w:val="left"/>
              <w:rPr>
                <w:rFonts w:hint="eastAsia" w:ascii="宋体" w:hAnsi="宋体" w:cs="宋体"/>
                <w:color w:val="000000"/>
                <w:kern w:val="0"/>
                <w:sz w:val="20"/>
                <w:szCs w:val="20"/>
              </w:rPr>
            </w:pPr>
          </w:p>
        </w:tc>
        <w:tc>
          <w:tcPr>
            <w:tcW w:w="4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9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补贴对象满意度</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612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893"/>
        <w:gridCol w:w="543"/>
        <w:gridCol w:w="1342"/>
        <w:gridCol w:w="615"/>
        <w:gridCol w:w="1116"/>
        <w:gridCol w:w="916"/>
        <w:gridCol w:w="136"/>
        <w:gridCol w:w="398"/>
        <w:gridCol w:w="90"/>
        <w:gridCol w:w="577"/>
        <w:gridCol w:w="348"/>
        <w:gridCol w:w="716"/>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木垒县雀仁乡人民政府草原安置补助费、临时草原补偿费项目</w:t>
            </w:r>
          </w:p>
        </w:tc>
      </w:tr>
      <w:tr>
        <w:tblPrEx>
          <w:tblLayout w:type="fixed"/>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0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584.73</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2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8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25"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根据木财预字（2023）63号文件精神，妥善解决被临时使用草场的村民的生产生活问题，维护村民根本利益，保障其生活水平不受影响。</w:t>
            </w:r>
          </w:p>
        </w:tc>
        <w:tc>
          <w:tcPr>
            <w:tcW w:w="3181"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截止本项目完成时限，我单位针对本项目已完成如下工作：我单位妥善解决被临时使用草场的村民的生产生活问题，安置村民数量600人，补偿草场面积2136亩，维护了村民根本利益，保障了其生活水平不受影响。</w:t>
            </w:r>
          </w:p>
        </w:tc>
      </w:tr>
      <w:tr>
        <w:tblPrEx>
          <w:tblLayout w:type="fixed"/>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0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5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安置村民数量</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&gt;=600人</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=600人</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补偿草场面积</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&gt;=2136亩</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=2136亩</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补助资金执行率</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&lt;=2737.50元/亩</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=2737.5元/亩</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补偿被使用草场村民收入占当地农村居民收入比例</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村民政策知晓率</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草原植被恢复率</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0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村民对草原临时补偿政策实施满意度</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625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4"/>
        <w:gridCol w:w="1491"/>
        <w:gridCol w:w="312"/>
        <w:gridCol w:w="1452"/>
        <w:gridCol w:w="642"/>
        <w:gridCol w:w="730"/>
        <w:gridCol w:w="730"/>
        <w:gridCol w:w="220"/>
        <w:gridCol w:w="302"/>
        <w:gridCol w:w="130"/>
        <w:gridCol w:w="570"/>
        <w:gridCol w:w="364"/>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73"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雀仁乡2023年高龄补贴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2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9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9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4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49" w:type="dxa"/>
            <w:gridSpan w:val="2"/>
            <w:vMerge w:val="continue"/>
            <w:vAlign w:val="center"/>
          </w:tcPr>
          <w:p>
            <w:pPr>
              <w:widowControl/>
              <w:jc w:val="left"/>
              <w:rPr>
                <w:rFonts w:hint="eastAsia" w:ascii="宋体" w:hAnsi="宋体" w:cs="宋体"/>
                <w:color w:val="000000"/>
                <w:kern w:val="0"/>
                <w:sz w:val="20"/>
                <w:szCs w:val="20"/>
              </w:rPr>
            </w:pPr>
          </w:p>
        </w:tc>
        <w:tc>
          <w:tcPr>
            <w:tcW w:w="18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13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2.90</w:t>
            </w:r>
          </w:p>
        </w:tc>
        <w:tc>
          <w:tcPr>
            <w:tcW w:w="9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2.90</w:t>
            </w:r>
          </w:p>
        </w:tc>
        <w:tc>
          <w:tcPr>
            <w:tcW w:w="4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49" w:type="dxa"/>
            <w:gridSpan w:val="2"/>
            <w:vMerge w:val="continue"/>
            <w:vAlign w:val="center"/>
          </w:tcPr>
          <w:p>
            <w:pPr>
              <w:widowControl/>
              <w:jc w:val="left"/>
              <w:rPr>
                <w:rFonts w:hint="eastAsia" w:ascii="宋体" w:hAnsi="宋体" w:cs="宋体"/>
                <w:color w:val="000000"/>
                <w:kern w:val="0"/>
                <w:sz w:val="20"/>
                <w:szCs w:val="20"/>
              </w:rPr>
            </w:pPr>
          </w:p>
        </w:tc>
        <w:tc>
          <w:tcPr>
            <w:tcW w:w="18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13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2.90</w:t>
            </w:r>
          </w:p>
        </w:tc>
        <w:tc>
          <w:tcPr>
            <w:tcW w:w="9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2.90</w:t>
            </w:r>
          </w:p>
        </w:tc>
        <w:tc>
          <w:tcPr>
            <w:tcW w:w="4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849" w:type="dxa"/>
            <w:gridSpan w:val="2"/>
            <w:vMerge w:val="continue"/>
            <w:vAlign w:val="center"/>
          </w:tcPr>
          <w:p>
            <w:pPr>
              <w:widowControl/>
              <w:jc w:val="left"/>
              <w:rPr>
                <w:rFonts w:hint="eastAsia" w:ascii="宋体" w:hAnsi="宋体" w:cs="宋体"/>
                <w:color w:val="000000"/>
                <w:kern w:val="0"/>
                <w:sz w:val="20"/>
                <w:szCs w:val="20"/>
              </w:rPr>
            </w:pPr>
          </w:p>
        </w:tc>
        <w:tc>
          <w:tcPr>
            <w:tcW w:w="18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5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42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5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5051"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依据2011年自治区党委办公厅、自治区人民政府办公厅《关于印发&lt;80周岁以上老年人基本生活津贴制度&gt;》文件要求，计划使用2023年高龄补贴资金为雀仁乡134名高龄老人发放高龄补贴，保高龄老人基本生活。</w:t>
            </w:r>
          </w:p>
        </w:tc>
        <w:tc>
          <w:tcPr>
            <w:tcW w:w="3046"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截止本项目完成时限，我单位针对本项目已完成如下工作：截至目前发放第一季度高龄补贴2.9万元。后续资金由民政局进行发放。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2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9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0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1491" w:type="dxa"/>
            <w:vMerge w:val="continue"/>
            <w:vAlign w:val="center"/>
          </w:tcPr>
          <w:p>
            <w:pPr>
              <w:widowControl/>
              <w:jc w:val="left"/>
              <w:rPr>
                <w:rFonts w:hint="eastAsia" w:ascii="宋体" w:hAnsi="宋体" w:cs="宋体"/>
                <w:color w:val="000000"/>
                <w:kern w:val="0"/>
                <w:sz w:val="20"/>
                <w:szCs w:val="20"/>
              </w:rPr>
            </w:pPr>
          </w:p>
        </w:tc>
        <w:tc>
          <w:tcPr>
            <w:tcW w:w="2406" w:type="dxa"/>
            <w:gridSpan w:val="3"/>
            <w:vMerge w:val="continue"/>
            <w:vAlign w:val="center"/>
          </w:tcPr>
          <w:p>
            <w:pPr>
              <w:widowControl/>
              <w:jc w:val="left"/>
              <w:rPr>
                <w:rFonts w:hint="eastAsia" w:ascii="宋体" w:hAnsi="宋体" w:cs="宋体"/>
                <w:color w:val="000000"/>
                <w:kern w:val="0"/>
                <w:sz w:val="20"/>
                <w:szCs w:val="20"/>
              </w:rPr>
            </w:pPr>
          </w:p>
        </w:tc>
        <w:tc>
          <w:tcPr>
            <w:tcW w:w="730" w:type="dxa"/>
            <w:vMerge w:val="continue"/>
            <w:vAlign w:val="center"/>
          </w:tcPr>
          <w:p>
            <w:pPr>
              <w:widowControl/>
              <w:jc w:val="left"/>
              <w:rPr>
                <w:rFonts w:hint="eastAsia" w:ascii="宋体" w:hAnsi="宋体" w:cs="宋体"/>
                <w:color w:val="000000"/>
                <w:kern w:val="0"/>
                <w:sz w:val="20"/>
                <w:szCs w:val="20"/>
              </w:rPr>
            </w:pPr>
          </w:p>
        </w:tc>
        <w:tc>
          <w:tcPr>
            <w:tcW w:w="730" w:type="dxa"/>
            <w:vMerge w:val="continue"/>
            <w:vAlign w:val="center"/>
          </w:tcPr>
          <w:p>
            <w:pPr>
              <w:widowControl/>
              <w:jc w:val="left"/>
              <w:rPr>
                <w:rFonts w:hint="eastAsia" w:ascii="宋体" w:hAnsi="宋体" w:cs="宋体"/>
                <w:color w:val="000000"/>
                <w:kern w:val="0"/>
                <w:sz w:val="20"/>
                <w:szCs w:val="20"/>
              </w:rPr>
            </w:pPr>
          </w:p>
        </w:tc>
        <w:tc>
          <w:tcPr>
            <w:tcW w:w="522" w:type="dxa"/>
            <w:gridSpan w:val="2"/>
            <w:vMerge w:val="continue"/>
            <w:vAlign w:val="center"/>
          </w:tcPr>
          <w:p>
            <w:pPr>
              <w:widowControl/>
              <w:jc w:val="left"/>
              <w:rPr>
                <w:rFonts w:hint="eastAsia" w:ascii="宋体" w:hAnsi="宋体" w:cs="宋体"/>
                <w:color w:val="000000"/>
                <w:kern w:val="0"/>
                <w:sz w:val="20"/>
                <w:szCs w:val="20"/>
              </w:rPr>
            </w:pPr>
          </w:p>
        </w:tc>
        <w:tc>
          <w:tcPr>
            <w:tcW w:w="700" w:type="dxa"/>
            <w:gridSpan w:val="2"/>
            <w:vMerge w:val="continue"/>
            <w:vAlign w:val="center"/>
          </w:tcPr>
          <w:p>
            <w:pPr>
              <w:widowControl/>
              <w:jc w:val="left"/>
              <w:rPr>
                <w:rFonts w:hint="eastAsia" w:ascii="宋体" w:hAnsi="宋体" w:cs="宋体"/>
                <w:color w:val="000000"/>
                <w:kern w:val="0"/>
                <w:sz w:val="20"/>
                <w:szCs w:val="20"/>
              </w:rPr>
            </w:pPr>
          </w:p>
        </w:tc>
        <w:tc>
          <w:tcPr>
            <w:tcW w:w="109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0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&gt;=134人</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=134人</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14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符合政策的高龄老人纳入保障范围覆盖率</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14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14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0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0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高龄补贴发放标准</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14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0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14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0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0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14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0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14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0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25" w:type="dxa"/>
            <w:vMerge w:val="continue"/>
            <w:vAlign w:val="center"/>
          </w:tcPr>
          <w:p>
            <w:pPr>
              <w:widowControl/>
              <w:jc w:val="left"/>
              <w:rPr>
                <w:rFonts w:hint="eastAsia" w:ascii="宋体" w:hAnsi="宋体" w:cs="宋体"/>
                <w:color w:val="000000"/>
                <w:kern w:val="0"/>
                <w:sz w:val="20"/>
                <w:szCs w:val="20"/>
              </w:rPr>
            </w:pPr>
          </w:p>
        </w:tc>
        <w:tc>
          <w:tcPr>
            <w:tcW w:w="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0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620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4"/>
        <w:gridCol w:w="514"/>
        <w:gridCol w:w="1207"/>
        <w:gridCol w:w="433"/>
        <w:gridCol w:w="924"/>
        <w:gridCol w:w="573"/>
        <w:gridCol w:w="919"/>
        <w:gridCol w:w="810"/>
        <w:gridCol w:w="261"/>
        <w:gridCol w:w="419"/>
        <w:gridCol w:w="273"/>
        <w:gridCol w:w="519"/>
        <w:gridCol w:w="380"/>
        <w:gridCol w:w="776"/>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4"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雀仁乡S228线路段安装爆闪灯及激光点项目</w:t>
            </w:r>
          </w:p>
        </w:tc>
      </w:tr>
      <w:tr>
        <w:tblPrEx>
          <w:tblLayout w:type="fixed"/>
          <w:tblCellMar>
            <w:top w:w="0" w:type="dxa"/>
            <w:left w:w="108" w:type="dxa"/>
            <w:bottom w:w="0" w:type="dxa"/>
            <w:right w:w="108" w:type="dxa"/>
          </w:tblCellMar>
        </w:tblPrEx>
        <w:trPr>
          <w:trHeight w:val="288" w:hRule="atLeast"/>
          <w:jc w:val="center"/>
        </w:trPr>
        <w:tc>
          <w:tcPr>
            <w:tcW w:w="10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5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10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4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91.36%</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4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7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0"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由于S228线从雀仁乡中心路段穿过，安全风险较高，雀仁乡政府为进一步做好辖区省道S228线道路交通安全管理工作，保障车辆及出行群众的安全，计划使用22万元资金用于部分连接S228线安装爆闪灯及增加激光点位，同时宣传交通安全，最大限度地预防和减少重特大道路交通事故的发生，保障车辆及出行群众的安全。</w:t>
            </w:r>
          </w:p>
        </w:tc>
        <w:tc>
          <w:tcPr>
            <w:tcW w:w="3438"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雀仁乡政府为进一步做好辖区省道S228线道路交通安全管理工作，保障车辆及出行群众的安全，最大限度地预防和减少了重特大道路交通事故的发生，保障了车辆及出行群众的安全。</w:t>
            </w:r>
          </w:p>
        </w:tc>
      </w:tr>
      <w:tr>
        <w:tblPrEx>
          <w:tblLayout w:type="fixed"/>
          <w:tblCellMar>
            <w:top w:w="0" w:type="dxa"/>
            <w:left w:w="108" w:type="dxa"/>
            <w:bottom w:w="0" w:type="dxa"/>
            <w:right w:w="108" w:type="dxa"/>
          </w:tblCellMar>
        </w:tblPrEx>
        <w:trPr>
          <w:trHeight w:val="312"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3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3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安装爆闪灯数量</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安装激光灯数量</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&gt;=25盏</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=25盏</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安装爆闪灯成本控制</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&lt;=380元/个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安装激光灯成本控制</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&lt;=5800元/个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=5800元/个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安全实施正常使用率</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群众出行安全保障率</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3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周边群众满意度</w:t>
            </w:r>
          </w:p>
        </w:tc>
        <w:tc>
          <w:tcPr>
            <w:tcW w:w="9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9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5"/>
        <w:gridCol w:w="515"/>
        <w:gridCol w:w="1150"/>
        <w:gridCol w:w="490"/>
        <w:gridCol w:w="924"/>
        <w:gridCol w:w="573"/>
        <w:gridCol w:w="832"/>
        <w:gridCol w:w="810"/>
        <w:gridCol w:w="261"/>
        <w:gridCol w:w="419"/>
        <w:gridCol w:w="273"/>
        <w:gridCol w:w="572"/>
        <w:gridCol w:w="412"/>
        <w:gridCol w:w="776"/>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2"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雀仁乡省道S228线安装道路设施资金</w:t>
            </w:r>
          </w:p>
        </w:tc>
      </w:tr>
      <w:tr>
        <w:tblPrEx>
          <w:tblLayout w:type="fixed"/>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木垒县雀仁乡政府</w:t>
            </w:r>
          </w:p>
        </w:tc>
      </w:tr>
      <w:tr>
        <w:tblPrEx>
          <w:tblLayout w:type="fixed"/>
          <w:tblCellMar>
            <w:top w:w="0" w:type="dxa"/>
            <w:left w:w="108" w:type="dxa"/>
            <w:bottom w:w="0" w:type="dxa"/>
            <w:right w:w="108" w:type="dxa"/>
          </w:tblCellMar>
        </w:tblPrEx>
        <w:trPr>
          <w:trHeight w:val="480" w:hRule="atLeast"/>
          <w:jc w:val="center"/>
        </w:trPr>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10.72</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84"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雀仁乡政府为进一步做好辖区省道S228线道路交通安全管理工作，保障车辆及出行群众的安全，由于S228线从雀仁乡中心路段穿过，安全风险较高，10.72万元资金用于部分连接S228线巷道封闭、安装爆闪灯及警示标志标牌，同时也是为广大驾驶员路 行驶增加安全系数，从而最大限度地预防和减少重特大道路交通事故的发生，保障人民群众的生命财产安全。</w:t>
            </w:r>
          </w:p>
        </w:tc>
        <w:tc>
          <w:tcPr>
            <w:tcW w:w="352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安装警示牌数量35个，安装爆闪灯数量35盏，封闭风险路口数量19个，最大限度地预防和减少了重特大道路交通事故的发生，保障人民群众的生命财产安全。</w:t>
            </w:r>
          </w:p>
        </w:tc>
      </w:tr>
      <w:tr>
        <w:tblPrEx>
          <w:tblLayout w:type="fixed"/>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8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8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安装警示牌数量</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安装爆闪灯数量</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&gt;=35盏</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=35盏</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封闭风险路口数量</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&lt;=3个月</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=3个月</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安装警示牌成本控制</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&lt;=90元/个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安装爆闪灯成本控制</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&lt;=240元/个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=240元/个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安全实施正常使用率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群众出行安全保障率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8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周边群众满意度</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hint="eastAsia"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CD1D74"/>
    <w:rsid w:val="00032600"/>
    <w:rsid w:val="000F2567"/>
    <w:rsid w:val="00207E31"/>
    <w:rsid w:val="00213C59"/>
    <w:rsid w:val="00263447"/>
    <w:rsid w:val="00277EDB"/>
    <w:rsid w:val="002E68F0"/>
    <w:rsid w:val="00300414"/>
    <w:rsid w:val="00311AAD"/>
    <w:rsid w:val="003210CE"/>
    <w:rsid w:val="0034031A"/>
    <w:rsid w:val="0036299B"/>
    <w:rsid w:val="00381174"/>
    <w:rsid w:val="003C6001"/>
    <w:rsid w:val="003E14E8"/>
    <w:rsid w:val="004C33D7"/>
    <w:rsid w:val="005248CE"/>
    <w:rsid w:val="00596604"/>
    <w:rsid w:val="005D37BC"/>
    <w:rsid w:val="00634D20"/>
    <w:rsid w:val="006B5C56"/>
    <w:rsid w:val="007300FE"/>
    <w:rsid w:val="0074486D"/>
    <w:rsid w:val="00761EEB"/>
    <w:rsid w:val="008115DB"/>
    <w:rsid w:val="00824BD0"/>
    <w:rsid w:val="00923EA0"/>
    <w:rsid w:val="00976C0E"/>
    <w:rsid w:val="009A4E87"/>
    <w:rsid w:val="009C315D"/>
    <w:rsid w:val="009F44BE"/>
    <w:rsid w:val="00A805C1"/>
    <w:rsid w:val="00A91C32"/>
    <w:rsid w:val="00B01360"/>
    <w:rsid w:val="00B06AB7"/>
    <w:rsid w:val="00B47FAE"/>
    <w:rsid w:val="00B70D59"/>
    <w:rsid w:val="00B74E02"/>
    <w:rsid w:val="00BB583A"/>
    <w:rsid w:val="00BC4CBF"/>
    <w:rsid w:val="00C05565"/>
    <w:rsid w:val="00CD1D74"/>
    <w:rsid w:val="00CD7122"/>
    <w:rsid w:val="00D07D29"/>
    <w:rsid w:val="00D3408C"/>
    <w:rsid w:val="00D600C2"/>
    <w:rsid w:val="00D77D60"/>
    <w:rsid w:val="00DD197F"/>
    <w:rsid w:val="00E00218"/>
    <w:rsid w:val="00F20A1C"/>
    <w:rsid w:val="00F3339E"/>
    <w:rsid w:val="00F52A8D"/>
    <w:rsid w:val="00F85708"/>
    <w:rsid w:val="00FC5311"/>
    <w:rsid w:val="00FE5FDE"/>
    <w:rsid w:val="00FF377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13D75"/>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477DB8"/>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511617"/>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9436</Words>
  <Characters>11009</Characters>
  <Lines>199</Lines>
  <Paragraphs>56</Paragraphs>
  <TotalTime>7</TotalTime>
  <ScaleCrop>false</ScaleCrop>
  <LinksUpToDate>false</LinksUpToDate>
  <CharactersWithSpaces>11032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2025-04-23T02:46:23Z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